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(Mark One)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 the quarterly period ended July 4,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001-38950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95250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9525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Grocery Outlet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320" w:type="dxa"/>
        <w:jc w:val="center"/>
        <w:tblInd w:w="0" w:type="dxa"/>
        <w:tblLayout w:type="fixed"/>
        <w:tblCellMar>
          <w:top w:w="28" w:type="dxa"/>
          <w:left w:w="28" w:type="dxa"/>
          <w:bottom w:w="28" w:type="dxa"/>
          <w:right w:w="28" w:type="dxa"/>
        </w:tblCellMar>
      </w:tblPr>
      <w:tblGrid>
        <w:gridCol w:w="1323"/>
        <w:gridCol w:w="1163"/>
        <w:gridCol w:w="1174"/>
        <w:gridCol w:w="109"/>
        <w:gridCol w:w="109"/>
        <w:gridCol w:w="109"/>
        <w:gridCol w:w="109"/>
        <w:gridCol w:w="109"/>
        <w:gridCol w:w="109"/>
        <w:gridCol w:w="109"/>
        <w:gridCol w:w="109"/>
        <w:gridCol w:w="109"/>
        <w:gridCol w:w="490"/>
        <w:gridCol w:w="490"/>
        <w:gridCol w:w="699"/>
      </w:tblGrid>
      <w:tr>
        <w:trPr/>
        <w:tc>
          <w:tcPr>
            <w:tcW w:w="132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47-1874201</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(I.R.S. Employer </w:t>
              <w:br/>
              <w:t>Identification No.)</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5650 Hollis Street, Emeryville,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94608</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r>
        <w:trPr/>
        <w:tc>
          <w:tcPr>
            <w:tcW w:w="632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(510) 845-1999</w:t>
            </w:r>
          </w:p>
        </w:tc>
      </w:tr>
      <w:tr>
        <w:trPr/>
        <w:tc>
          <w:tcPr>
            <w:tcW w:w="63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692" w:type="dxa"/>
        <w:jc w:val="center"/>
        <w:tblInd w:w="0" w:type="dxa"/>
        <w:tblLayout w:type="fixed"/>
        <w:tblCellMar>
          <w:top w:w="28" w:type="dxa"/>
          <w:left w:w="28" w:type="dxa"/>
          <w:bottom w:w="28" w:type="dxa"/>
          <w:right w:w="28" w:type="dxa"/>
        </w:tblCellMar>
      </w:tblPr>
      <w:tblGrid>
        <w:gridCol w:w="1155"/>
        <w:gridCol w:w="1017"/>
        <w:gridCol w:w="1023"/>
        <w:gridCol w:w="109"/>
        <w:gridCol w:w="109"/>
        <w:gridCol w:w="109"/>
        <w:gridCol w:w="454"/>
        <w:gridCol w:w="454"/>
        <w:gridCol w:w="456"/>
        <w:gridCol w:w="109"/>
        <w:gridCol w:w="109"/>
        <w:gridCol w:w="109"/>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bl>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120" w:after="283"/>
        <w:jc w:val="both"/>
        <w:rPr/>
      </w:pPr>
      <w:r>
        <w:rPr>
          <w:rFonts w:ascii="Times New Roman;serif" w:hAnsi="Times New Roman;serif"/>
          <w:b w:val="false"/>
          <w:color w:val="000000"/>
          <w:sz w:val="18"/>
          <w:shd w:fill="FFFFFF" w:val="clear"/>
        </w:rPr>
        <w:t>As o</w:t>
      </w:r>
      <w:r>
        <w:rPr>
          <w:rFonts w:ascii="Times New Roman;serif" w:hAnsi="Times New Roman;serif"/>
          <w:b w:val="false"/>
          <w:color w:val="000000"/>
          <w:sz w:val="18"/>
        </w:rPr>
        <w:t>f August 6, 2026, the r</w:t>
      </w:r>
      <w:r>
        <w:rPr>
          <w:rFonts w:ascii="Times New Roman;serif" w:hAnsi="Times New Roman;serif"/>
          <w:b w:val="false"/>
          <w:color w:val="000000"/>
          <w:sz w:val="18"/>
          <w:shd w:fill="FFFFFF" w:val="clear"/>
        </w:rPr>
        <w:t>egistran</w:t>
      </w:r>
      <w:r>
        <w:rPr>
          <w:rFonts w:ascii="Times New Roman;serif" w:hAnsi="Times New Roman;serif"/>
          <w:b w:val="false"/>
          <w:color w:val="000000"/>
          <w:sz w:val="18"/>
        </w:rPr>
        <w:t>t had 99,084,492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GROCERY OUTLET HOLDING CORP.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10-Q</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TABLE OF CONTENTS</w:t>
      </w:r>
    </w:p>
    <w:tbl>
      <w:tblPr>
        <w:tblW w:w="10116" w:type="dxa"/>
        <w:jc w:val="center"/>
        <w:tblInd w:w="0" w:type="dxa"/>
        <w:tblLayout w:type="fixed"/>
        <w:tblCellMar>
          <w:top w:w="28" w:type="dxa"/>
          <w:left w:w="28" w:type="dxa"/>
          <w:bottom w:w="28" w:type="dxa"/>
          <w:right w:w="28" w:type="dxa"/>
        </w:tblCellMar>
      </w:tblPr>
      <w:tblGrid>
        <w:gridCol w:w="824"/>
        <w:gridCol w:w="723"/>
        <w:gridCol w:w="723"/>
        <w:gridCol w:w="2430"/>
        <w:gridCol w:w="2430"/>
        <w:gridCol w:w="2475"/>
        <w:gridCol w:w="149"/>
        <w:gridCol w:w="149"/>
        <w:gridCol w:w="213"/>
      </w:tblGrid>
      <w:tr>
        <w:trPr/>
        <w:tc>
          <w:tcPr>
            <w:tcW w:w="82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960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3">
              <w:r>
                <w:rPr>
                  <w:rStyle w:val="InternetLink"/>
                  <w:rFonts w:ascii="Times New Roman;serif" w:hAnsi="Times New Roman;serif"/>
                  <w:b w:val="false"/>
                  <w:color w:val="3051F2"/>
                  <w:sz w:val="20"/>
                  <w:u w:val="single"/>
                </w:rPr>
                <w:t>Special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3">
              <w:r>
                <w:rPr>
                  <w:rStyle w:val="InternetLink"/>
                  <w:rFonts w:ascii="Times New Roman;serif" w:hAnsi="Times New Roman;serif"/>
                  <w:b w:val="false"/>
                  <w:color w:val="3051F2"/>
                  <w:sz w:val="18"/>
                  <w:u w:val="single"/>
                </w:rPr>
                <w:t>2</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6">
              <w:r>
                <w:rPr>
                  <w:rStyle w:val="InternetLink"/>
                  <w:rFonts w:ascii="Times New Roman;serif" w:hAnsi="Times New Roman;serif"/>
                  <w:b/>
                  <w:strike w:val="false"/>
                  <w:dstrike w:val="false"/>
                  <w:color w:val="000080"/>
                  <w:sz w:val="20"/>
                  <w:u w:val="single"/>
                  <w:effect w:val="none"/>
                </w:rPr>
                <w:t xml:space="preserve">PART I. </w:t>
              </w:r>
            </w:hyperlink>
            <w:hyperlink w:anchor="i75e3766a8e9c4143ab73f47694687947_16">
              <w:r>
                <w:rPr>
                  <w:rStyle w:val="InternetLink"/>
                  <w:rFonts w:ascii="Times New Roman;serif" w:hAnsi="Times New Roman;serif"/>
                  <w:b/>
                  <w:strike w:val="false"/>
                  <w:dstrike w:val="false"/>
                  <w:color w:val="000080"/>
                  <w:sz w:val="20"/>
                  <w:u w:val="single"/>
                  <w:effect w:val="none"/>
                </w:rPr>
                <w:t>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9">
              <w:r>
                <w:rPr>
                  <w:rStyle w:val="InternetLink"/>
                  <w:rFonts w:ascii="Times New Roman;serif" w:hAnsi="Times New Roman;serif"/>
                  <w:b w:val="false"/>
                  <w:strike w:val="false"/>
                  <w:dstrike w:val="false"/>
                  <w:color w:val="000000"/>
                  <w:sz w:val="20"/>
                  <w:u w:val="none"/>
                  <w:effect w:val="none"/>
                </w:rPr>
                <w:t>Item 1</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9">
              <w:r>
                <w:rPr>
                  <w:rStyle w:val="InternetLink"/>
                  <w:rFonts w:ascii="Times New Roman;serif" w:hAnsi="Times New Roman;serif"/>
                  <w:b w:val="false"/>
                  <w:color w:val="3051F2"/>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9">
              <w:r>
                <w:rPr>
                  <w:rStyle w:val="InternetLink"/>
                  <w:rFonts w:ascii="Times New Roman;serif" w:hAnsi="Times New Roman;serif"/>
                  <w:b w:val="false"/>
                  <w:color w:val="3051F2"/>
                  <w:sz w:val="18"/>
                  <w:u w:val="single"/>
                </w:rPr>
                <w:t>3</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22">
              <w:r>
                <w:rPr>
                  <w:rStyle w:val="InternetLink"/>
                  <w:rFonts w:ascii="Times New Roman;serif" w:hAnsi="Times New Roman;serif"/>
                  <w:b w:val="false"/>
                  <w:color w:val="3051F2"/>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22">
              <w:r>
                <w:rPr>
                  <w:rStyle w:val="InternetLink"/>
                  <w:rFonts w:ascii="Times New Roman;serif" w:hAnsi="Times New Roman;serif"/>
                  <w:b w:val="false"/>
                  <w:color w:val="3051F2"/>
                  <w:sz w:val="18"/>
                  <w:u w:val="single"/>
                </w:rPr>
                <w:t>3</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25">
              <w:r>
                <w:rPr>
                  <w:rStyle w:val="InternetLink"/>
                  <w:rFonts w:ascii="Times New Roman;serif" w:hAnsi="Times New Roman;serif"/>
                  <w:b w:val="false"/>
                  <w:color w:val="3051F2"/>
                  <w:sz w:val="20"/>
                  <w:u w:val="single"/>
                </w:rPr>
                <w:t>Condensed Consolidated Statements of Operations and Comprehensive Income (Loss)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25">
              <w:r>
                <w:rPr>
                  <w:rStyle w:val="InternetLink"/>
                  <w:rFonts w:ascii="Times New Roman;serif" w:hAnsi="Times New Roman;serif"/>
                  <w:b w:val="false"/>
                  <w:color w:val="3051F2"/>
                  <w:sz w:val="18"/>
                  <w:u w:val="single"/>
                </w:rPr>
                <w:t>4</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28">
              <w:r>
                <w:rPr>
                  <w:rStyle w:val="InternetLink"/>
                  <w:rFonts w:ascii="Times New Roman;serif" w:hAnsi="Times New Roman;serif"/>
                  <w:b w:val="false"/>
                  <w:color w:val="3051F2"/>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28">
              <w:r>
                <w:rPr>
                  <w:rStyle w:val="InternetLink"/>
                  <w:rFonts w:ascii="Times New Roman;serif" w:hAnsi="Times New Roman;serif"/>
                  <w:b w:val="false"/>
                  <w:color w:val="3051F2"/>
                  <w:sz w:val="18"/>
                  <w:u w:val="single"/>
                </w:rPr>
                <w:t>5</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34">
              <w:r>
                <w:rPr>
                  <w:rStyle w:val="InternetLink"/>
                  <w:rFonts w:ascii="Times New Roman;serif" w:hAnsi="Times New Roman;serif"/>
                  <w:b w:val="false"/>
                  <w:color w:val="3051F2"/>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34">
              <w:r>
                <w:rPr>
                  <w:rStyle w:val="InternetLink"/>
                  <w:rFonts w:ascii="Times New Roman;serif" w:hAnsi="Times New Roman;serif"/>
                  <w:b w:val="false"/>
                  <w:color w:val="3051F2"/>
                  <w:sz w:val="18"/>
                  <w:u w:val="single"/>
                </w:rPr>
                <w:t>6</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40">
              <w:r>
                <w:rPr>
                  <w:rStyle w:val="InternetLink"/>
                  <w:rFonts w:ascii="Times New Roman;serif" w:hAnsi="Times New Roman;serif"/>
                  <w:b w:val="false"/>
                  <w:color w:val="3051F2"/>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40">
              <w:r>
                <w:rPr>
                  <w:rStyle w:val="InternetLink"/>
                  <w:rFonts w:ascii="Times New Roman;serif" w:hAnsi="Times New Roman;serif"/>
                  <w:b w:val="false"/>
                  <w:color w:val="3051F2"/>
                  <w:sz w:val="18"/>
                  <w:u w:val="single"/>
                </w:rPr>
                <w:t>7</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06">
              <w:r>
                <w:rPr>
                  <w:rStyle w:val="InternetLink"/>
                  <w:rFonts w:ascii="Times New Roman;serif" w:hAnsi="Times New Roman;serif"/>
                  <w:b w:val="false"/>
                  <w:strike w:val="false"/>
                  <w:dstrike w:val="false"/>
                  <w:color w:val="000000"/>
                  <w:sz w:val="20"/>
                  <w:u w:val="none"/>
                  <w:effect w:val="none"/>
                </w:rPr>
                <w:t>Item 2</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06">
              <w:r>
                <w:rPr>
                  <w:rStyle w:val="InternetLink"/>
                  <w:rFonts w:ascii="Times New Roman;serif" w:hAnsi="Times New Roman;serif"/>
                  <w:b w:val="false"/>
                  <w:color w:val="3051F2"/>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06">
              <w:r>
                <w:rPr>
                  <w:rStyle w:val="InternetLink"/>
                  <w:rFonts w:ascii="Times New Roman;serif" w:hAnsi="Times New Roman;serif"/>
                  <w:b w:val="false"/>
                  <w:color w:val="3051F2"/>
                  <w:sz w:val="18"/>
                  <w:u w:val="single"/>
                </w:rPr>
                <w:t>25</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09">
              <w:r>
                <w:rPr>
                  <w:rStyle w:val="InternetLink"/>
                  <w:rFonts w:ascii="Times New Roman;serif" w:hAnsi="Times New Roman;serif"/>
                  <w:b w:val="false"/>
                  <w:color w:val="3051F2"/>
                  <w:sz w:val="20"/>
                  <w:u w:val="single"/>
                </w:rPr>
                <w:t>Overview</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09">
              <w:r>
                <w:rPr>
                  <w:rStyle w:val="InternetLink"/>
                  <w:rFonts w:ascii="Times New Roman;serif" w:hAnsi="Times New Roman;serif"/>
                  <w:b w:val="false"/>
                  <w:color w:val="3051F2"/>
                  <w:sz w:val="18"/>
                  <w:u w:val="single"/>
                </w:rPr>
                <w:t>25</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21">
              <w:r>
                <w:rPr>
                  <w:rStyle w:val="InternetLink"/>
                  <w:rFonts w:ascii="Times New Roman;serif" w:hAnsi="Times New Roman;serif"/>
                  <w:b w:val="false"/>
                  <w:color w:val="3051F2"/>
                  <w:sz w:val="20"/>
                  <w:u w:val="single"/>
                </w:rPr>
                <w:t>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21">
              <w:r>
                <w:rPr>
                  <w:rStyle w:val="InternetLink"/>
                  <w:rFonts w:ascii="Times New Roman;serif" w:hAnsi="Times New Roman;serif"/>
                  <w:b w:val="false"/>
                  <w:color w:val="3051F2"/>
                  <w:sz w:val="18"/>
                  <w:u w:val="single"/>
                </w:rPr>
                <w:t>28</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33">
              <w:r>
                <w:rPr>
                  <w:rStyle w:val="InternetLink"/>
                  <w:rFonts w:ascii="Times New Roman;serif" w:hAnsi="Times New Roman;serif"/>
                  <w:b w:val="false"/>
                  <w:color w:val="3051F2"/>
                  <w:sz w:val="20"/>
                  <w:u w:val="single"/>
                </w:rPr>
                <w:t>Liquidity and Capital Resources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33">
              <w:r>
                <w:rPr>
                  <w:rStyle w:val="InternetLink"/>
                  <w:rFonts w:ascii="Times New Roman;serif" w:hAnsi="Times New Roman;serif"/>
                  <w:b w:val="false"/>
                  <w:color w:val="3051F2"/>
                  <w:sz w:val="18"/>
                  <w:u w:val="single"/>
                </w:rPr>
                <w:t>36</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36">
              <w:r>
                <w:rPr>
                  <w:rStyle w:val="InternetLink"/>
                  <w:rFonts w:ascii="Times New Roman;serif" w:hAnsi="Times New Roman;serif"/>
                  <w:b w:val="false"/>
                  <w:color w:val="3051F2"/>
                  <w:sz w:val="20"/>
                  <w:u w:val="single"/>
                </w:rPr>
                <w:t>Critical Accounting Policies and Estimates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36">
              <w:r>
                <w:rPr>
                  <w:rStyle w:val="InternetLink"/>
                  <w:rFonts w:ascii="Times New Roman;serif" w:hAnsi="Times New Roman;serif"/>
                  <w:b w:val="false"/>
                  <w:color w:val="3051F2"/>
                  <w:sz w:val="18"/>
                  <w:u w:val="single"/>
                </w:rPr>
                <w:t>38</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39">
              <w:r>
                <w:rPr>
                  <w:rStyle w:val="InternetLink"/>
                  <w:rFonts w:ascii="Times New Roman;serif" w:hAnsi="Times New Roman;serif"/>
                  <w:b w:val="false"/>
                  <w:color w:val="3051F2"/>
                  <w:sz w:val="20"/>
                  <w:u w:val="single"/>
                </w:rPr>
                <w:t>Recent Accounting Pronouncements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39">
              <w:r>
                <w:rPr>
                  <w:rStyle w:val="InternetLink"/>
                  <w:rFonts w:ascii="Times New Roman;serif" w:hAnsi="Times New Roman;serif"/>
                  <w:b w:val="false"/>
                  <w:color w:val="3051F2"/>
                  <w:sz w:val="18"/>
                  <w:u w:val="single"/>
                </w:rPr>
                <w:t>38</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42">
              <w:r>
                <w:rPr>
                  <w:rStyle w:val="InternetLink"/>
                  <w:rFonts w:ascii="Times New Roman;serif" w:hAnsi="Times New Roman;serif"/>
                  <w:b w:val="false"/>
                  <w:strike w:val="false"/>
                  <w:dstrike w:val="false"/>
                  <w:color w:val="000000"/>
                  <w:sz w:val="20"/>
                  <w:u w:val="none"/>
                  <w:effect w:val="none"/>
                </w:rPr>
                <w:t>Item 3</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42">
              <w:r>
                <w:rPr>
                  <w:rStyle w:val="InternetLink"/>
                  <w:rFonts w:ascii="Times New Roman;serif" w:hAnsi="Times New Roman;serif"/>
                  <w:b w:val="false"/>
                  <w:color w:val="3051F2"/>
                  <w:sz w:val="20"/>
                  <w:u w:val="single"/>
                </w:rPr>
                <w:t>Quantitative and Qualitative Disclosure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42">
              <w:r>
                <w:rPr>
                  <w:rStyle w:val="InternetLink"/>
                  <w:rFonts w:ascii="Times New Roman;serif" w:hAnsi="Times New Roman;serif"/>
                  <w:b w:val="false"/>
                  <w:color w:val="3051F2"/>
                  <w:sz w:val="18"/>
                  <w:u w:val="single"/>
                </w:rPr>
                <w:t>39</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45">
              <w:r>
                <w:rPr>
                  <w:rStyle w:val="InternetLink"/>
                  <w:rFonts w:ascii="Times New Roman;serif" w:hAnsi="Times New Roman;serif"/>
                  <w:b w:val="false"/>
                  <w:strike w:val="false"/>
                  <w:dstrike w:val="false"/>
                  <w:color w:val="000000"/>
                  <w:sz w:val="20"/>
                  <w:u w:val="none"/>
                  <w:effect w:val="none"/>
                </w:rPr>
                <w:t>Item 4</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45">
              <w:r>
                <w:rPr>
                  <w:rStyle w:val="InternetLink"/>
                  <w:rFonts w:ascii="Times New Roman;serif" w:hAnsi="Times New Roman;serif"/>
                  <w:b w:val="false"/>
                  <w:color w:val="3051F2"/>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45">
              <w:r>
                <w:rPr>
                  <w:rStyle w:val="InternetLink"/>
                  <w:rFonts w:ascii="Times New Roman;serif" w:hAnsi="Times New Roman;serif"/>
                  <w:b w:val="false"/>
                  <w:color w:val="3051F2"/>
                  <w:sz w:val="18"/>
                  <w:u w:val="single"/>
                </w:rPr>
                <w:t>39</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48">
              <w:r>
                <w:rPr>
                  <w:rStyle w:val="InternetLink"/>
                  <w:rFonts w:ascii="Times New Roman;serif" w:hAnsi="Times New Roman;serif"/>
                  <w:b/>
                  <w:strike w:val="false"/>
                  <w:dstrike w:val="false"/>
                  <w:color w:val="000080"/>
                  <w:sz w:val="20"/>
                  <w:u w:val="single"/>
                  <w:effect w:val="none"/>
                </w:rPr>
                <w:t xml:space="preserve">PART II. </w:t>
              </w:r>
            </w:hyperlink>
            <w:hyperlink w:anchor="i75e3766a8e9c4143ab73f47694687947_148">
              <w:r>
                <w:rPr>
                  <w:rStyle w:val="InternetLink"/>
                  <w:rFonts w:ascii="Times New Roman;serif" w:hAnsi="Times New Roman;serif"/>
                  <w:b/>
                  <w:strike w:val="false"/>
                  <w:dstrike w:val="false"/>
                  <w:color w:val="000080"/>
                  <w:sz w:val="20"/>
                  <w:u w:val="singl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51">
              <w:r>
                <w:rPr>
                  <w:rStyle w:val="InternetLink"/>
                  <w:rFonts w:ascii="Times New Roman;serif" w:hAnsi="Times New Roman;serif"/>
                  <w:b w:val="false"/>
                  <w:strike w:val="false"/>
                  <w:dstrike w:val="false"/>
                  <w:color w:val="000000"/>
                  <w:sz w:val="20"/>
                  <w:u w:val="none"/>
                  <w:effect w:val="none"/>
                </w:rPr>
                <w:t>Item 1</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51">
              <w:r>
                <w:rPr>
                  <w:rStyle w:val="InternetLink"/>
                  <w:rFonts w:ascii="Times New Roman;serif" w:hAnsi="Times New Roman;serif"/>
                  <w:b w:val="false"/>
                  <w:color w:val="3051F2"/>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51">
              <w:r>
                <w:rPr>
                  <w:rStyle w:val="InternetLink"/>
                  <w:rFonts w:ascii="Times New Roman;serif" w:hAnsi="Times New Roman;serif"/>
                  <w:b w:val="false"/>
                  <w:color w:val="3051F2"/>
                  <w:sz w:val="18"/>
                  <w:u w:val="single"/>
                </w:rPr>
                <w:t>40</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54">
              <w:r>
                <w:rPr>
                  <w:rStyle w:val="InternetLink"/>
                  <w:rFonts w:ascii="Times New Roman;serif" w:hAnsi="Times New Roman;serif"/>
                  <w:b w:val="false"/>
                  <w:strike w:val="false"/>
                  <w:dstrike w:val="false"/>
                  <w:color w:val="000000"/>
                  <w:sz w:val="20"/>
                  <w:u w:val="none"/>
                  <w:effect w:val="none"/>
                </w:rPr>
                <w:t>Item 1A</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54">
              <w:r>
                <w:rPr>
                  <w:rStyle w:val="InternetLink"/>
                  <w:rFonts w:ascii="Times New Roman;serif" w:hAnsi="Times New Roman;serif"/>
                  <w:b w:val="false"/>
                  <w:color w:val="3051F2"/>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54">
              <w:r>
                <w:rPr>
                  <w:rStyle w:val="InternetLink"/>
                  <w:rFonts w:ascii="Times New Roman;serif" w:hAnsi="Times New Roman;serif"/>
                  <w:b w:val="false"/>
                  <w:color w:val="3051F2"/>
                  <w:sz w:val="18"/>
                  <w:u w:val="single"/>
                </w:rPr>
                <w:t>40</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57">
              <w:r>
                <w:rPr>
                  <w:rStyle w:val="InternetLink"/>
                  <w:rFonts w:ascii="Times New Roman;serif" w:hAnsi="Times New Roman;serif"/>
                  <w:b w:val="false"/>
                  <w:color w:val="3051F2"/>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57">
              <w:r>
                <w:rPr>
                  <w:rStyle w:val="InternetLink"/>
                  <w:rFonts w:ascii="Times New Roman;serif" w:hAnsi="Times New Roman;serif"/>
                  <w:b w:val="false"/>
                  <w:color w:val="3051F2"/>
                  <w:sz w:val="18"/>
                  <w:u w:val="single"/>
                </w:rPr>
                <w:t>40</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63">
              <w:r>
                <w:rPr>
                  <w:rStyle w:val="InternetLink"/>
                  <w:rFonts w:ascii="Times New Roman;serif" w:hAnsi="Times New Roman;serif"/>
                  <w:b w:val="false"/>
                  <w:strike w:val="false"/>
                  <w:dstrike w:val="false"/>
                  <w:color w:val="000000"/>
                  <w:sz w:val="20"/>
                  <w:u w:val="none"/>
                  <w:effect w:val="none"/>
                </w:rPr>
                <w:t>Item 3</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63">
              <w:r>
                <w:rPr>
                  <w:rStyle w:val="InternetLink"/>
                  <w:rFonts w:ascii="Times New Roman;serif" w:hAnsi="Times New Roman;serif"/>
                  <w:b w:val="false"/>
                  <w:color w:val="3051F2"/>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63">
              <w:r>
                <w:rPr>
                  <w:rStyle w:val="InternetLink"/>
                  <w:rFonts w:ascii="Times New Roman;serif" w:hAnsi="Times New Roman;serif"/>
                  <w:b w:val="false"/>
                  <w:color w:val="3051F2"/>
                  <w:sz w:val="18"/>
                  <w:u w:val="single"/>
                </w:rPr>
                <w:t>40</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66">
              <w:r>
                <w:rPr>
                  <w:rStyle w:val="InternetLink"/>
                  <w:rFonts w:ascii="Times New Roman;serif" w:hAnsi="Times New Roman;serif"/>
                  <w:b w:val="false"/>
                  <w:color w:val="3051F2"/>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66">
              <w:r>
                <w:rPr>
                  <w:rStyle w:val="InternetLink"/>
                  <w:rFonts w:ascii="Times New Roman;serif" w:hAnsi="Times New Roman;serif"/>
                  <w:b w:val="false"/>
                  <w:color w:val="3051F2"/>
                  <w:sz w:val="18"/>
                  <w:u w:val="single"/>
                </w:rPr>
                <w:t>40</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69">
              <w:r>
                <w:rPr>
                  <w:rStyle w:val="InternetLink"/>
                  <w:rFonts w:ascii="Times New Roman;serif" w:hAnsi="Times New Roman;serif"/>
                  <w:b w:val="false"/>
                  <w:strike w:val="false"/>
                  <w:dstrike w:val="false"/>
                  <w:color w:val="000000"/>
                  <w:sz w:val="20"/>
                  <w:u w:val="none"/>
                  <w:effect w:val="none"/>
                </w:rPr>
                <w:t>Item 5</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69">
              <w:r>
                <w:rPr>
                  <w:rStyle w:val="InternetLink"/>
                  <w:rFonts w:ascii="Times New Roman;serif" w:hAnsi="Times New Roman;serif"/>
                  <w:b w:val="false"/>
                  <w:color w:val="3051F2"/>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69">
              <w:r>
                <w:rPr>
                  <w:rStyle w:val="InternetLink"/>
                  <w:rFonts w:ascii="Times New Roman;serif" w:hAnsi="Times New Roman;serif"/>
                  <w:b w:val="false"/>
                  <w:color w:val="3051F2"/>
                  <w:sz w:val="18"/>
                  <w:u w:val="single"/>
                </w:rPr>
                <w:t>40</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75">
              <w:r>
                <w:rPr>
                  <w:rStyle w:val="InternetLink"/>
                  <w:rFonts w:ascii="Times New Roman;serif" w:hAnsi="Times New Roman;serif"/>
                  <w:b w:val="false"/>
                  <w:strike w:val="false"/>
                  <w:dstrike w:val="false"/>
                  <w:color w:val="000000"/>
                  <w:sz w:val="20"/>
                  <w:u w:val="none"/>
                  <w:effect w:val="none"/>
                </w:rPr>
                <w:t>Item 6</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75">
              <w:r>
                <w:rPr>
                  <w:rStyle w:val="InternetLink"/>
                  <w:rFonts w:ascii="Times New Roman;serif" w:hAnsi="Times New Roman;serif"/>
                  <w:b w:val="false"/>
                  <w:color w:val="3051F2"/>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75">
              <w:r>
                <w:rPr>
                  <w:rStyle w:val="InternetLink"/>
                  <w:rFonts w:ascii="Times New Roman;serif" w:hAnsi="Times New Roman;serif"/>
                  <w:b w:val="false"/>
                  <w:color w:val="3051F2"/>
                  <w:sz w:val="18"/>
                  <w:u w:val="single"/>
                </w:rPr>
                <w:t>41</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e3766a8e9c4143ab73f47694687947_178">
              <w:r>
                <w:rPr>
                  <w:rStyle w:val="InternetLink"/>
                  <w:rFonts w:ascii="Times New Roman;serif" w:hAnsi="Times New Roman;serif"/>
                  <w:b w:val="false"/>
                  <w:color w:val="0E32E1"/>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5e3766a8e9c4143ab73f47694687947_178">
              <w:r>
                <w:rPr>
                  <w:rStyle w:val="InternetLink"/>
                  <w:rFonts w:ascii="Times New Roman;serif" w:hAnsi="Times New Roman;serif"/>
                  <w:b w:val="false"/>
                  <w:color w:val="3051F2"/>
                  <w:sz w:val="18"/>
                  <w:u w:val="single"/>
                </w:rPr>
                <w:t>42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120" w:after="283"/>
        <w:ind w:left="0" w:right="0" w:firstLine="540"/>
        <w:jc w:val="both"/>
        <w:rPr>
          <w:rFonts w:ascii="Times New Roman;serif" w:hAnsi="Times New Roman;serif"/>
          <w:b w:val="false"/>
          <w:i/>
          <w:color w:val="231F20"/>
          <w:sz w:val="20"/>
        </w:rPr>
      </w:pPr>
      <w:r>
        <w:rPr>
          <w:rFonts w:ascii="Times New Roman;serif" w:hAnsi="Times New Roman;serif"/>
          <w:b w:val="false"/>
          <w:i/>
          <w:color w:val="231F20"/>
          <w:sz w:val="20"/>
        </w:rPr>
        <w:t>Certain statements contained in this Quarterly Report on Form 10-Q ("Form 10-Q" or "report")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the opening of new stores and new store growth, benefits, costs and activities associated with the Restructuring Plan and Optimization Plan as defined in this Form 10-Q, our enterprise resource planning system impacts, business and market trends, macroeconomic and geopolitical conditions, our share of the excess inventory market, and the sufficiency of our cash balances, working capital and cash generated from operating, investing, and financing activities for our future liquidity and capital resource needs. Words such as "anticipate," "believe," "estimate," "expect," "intend," "may," "outlook," "plan," "project," "seek," "will," and similar expressions are intended to identify such forward-looking statements. These forward-looking statements are subject to a number of risks, uncertainties and assumptions that may cause actual results to differ materially from those expressed or implied by any forward-looking statements we make, including those described under the headings "Risk Factors" and "Management's Discussion and Analysis of Financial Condition and Results of Operations" and elsewhere in this report and our Annual Report on Form 10-K for the fiscal year ended January 3, 2026 ("2025 Form 10-K"), and as described in other subsequent reports we file with the United States ("U.S.") Securities and Exchange Commission (the "SEC"). We encourage you to read this report and our other filings with the SEC carefully. Moreover, we operate in a very competitive and rapidly changing environment and new risks emerge from time to time.</w:t>
      </w:r>
    </w:p>
    <w:p>
      <w:pPr>
        <w:pStyle w:val="TextBody"/>
        <w:bidi w:val="0"/>
        <w:spacing w:lineRule="auto" w:line="288" w:before="120" w:after="283"/>
        <w:ind w:left="0" w:right="0" w:firstLine="540"/>
        <w:jc w:val="both"/>
        <w:rPr>
          <w:rFonts w:ascii="Times New Roman;serif" w:hAnsi="Times New Roman;serif"/>
          <w:b w:val="false"/>
          <w:i/>
          <w:color w:val="231F20"/>
          <w:sz w:val="20"/>
        </w:rPr>
      </w:pPr>
      <w:r>
        <w:rPr>
          <w:rFonts w:ascii="Times New Roman;serif" w:hAnsi="Times New Roman;serif"/>
          <w:b w:val="false"/>
          <w:i/>
          <w:color w:val="231F20"/>
          <w:sz w:val="20"/>
        </w:rPr>
        <w:t>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 These forward-looking statements are made as of the date of this report or as of the date specified herein and we have based these forward-looking statements on our current expectations and projections about future events and trends. Except as required by law, we do not undertake any duty to update any of these forward-looking statements after the date of this report or to conform these statements to actual results or revised expectations.</w:t>
      </w:r>
    </w:p>
    <w:p>
      <w:pPr>
        <w:pStyle w:val="TextBody"/>
        <w:bidi w:val="0"/>
        <w:spacing w:lineRule="auto" w:line="288" w:before="120" w:after="283"/>
        <w:ind w:left="0" w:right="0" w:firstLine="540"/>
        <w:jc w:val="both"/>
        <w:rPr>
          <w:rFonts w:ascii="Times New Roman;serif" w:hAnsi="Times New Roman;serif"/>
          <w:b w:val="false"/>
          <w:i/>
          <w:color w:val="231F20"/>
          <w:sz w:val="20"/>
        </w:rPr>
      </w:pPr>
      <w:r>
        <w:rPr>
          <w:rFonts w:ascii="Times New Roman;serif" w:hAnsi="Times New Roman;serif"/>
          <w:b w:val="false"/>
          <w:i/>
          <w:color w:val="231F20"/>
          <w:sz w:val="20"/>
        </w:rPr>
        <w:t>As used in this report, references to "Grocery Outlet," "the Company," "registrant," "we," "us" and "our," refer to Grocery Outlet Holding Corp. and its consolidated subsidiaries unless otherwise indicated or the context requires otherwise.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Website Disclosure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our website, https://investors.groceryoutlet.com, as a channel of distribution of Company information. Financial and other important information about us is routinely accessible through and posted on our website. Accordingly, investors should monitor our website, in addition to following our press releases, SEC filings and public conference calls and webcasts. The contents of our website and information accessible through our website is not, however, incorporated by reference or a part of this report. Our annual reports on Form 10-K, quarterly reports on Form 10-Q, current reports on Form 8-K and all amendments to those reports, and the proxy statements for our annual meetings of stockholders are available, free of charge, on our website as soon as practicable after we file the reports with the SEC.</w:t>
      </w:r>
    </w:p>
    <w:p>
      <w:pPr>
        <w:pStyle w:val="TextBody"/>
        <w:bidi w:val="0"/>
        <w:spacing w:before="200" w:after="283"/>
        <w:ind w:left="0" w:right="0" w:firstLine="58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GROCERY OUTLET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06"/>
        <w:gridCol w:w="2281"/>
        <w:gridCol w:w="2253"/>
        <w:gridCol w:w="211"/>
        <w:gridCol w:w="976"/>
        <w:gridCol w:w="109"/>
        <w:gridCol w:w="109"/>
        <w:gridCol w:w="109"/>
        <w:gridCol w:w="109"/>
        <w:gridCol w:w="211"/>
        <w:gridCol w:w="976"/>
        <w:gridCol w:w="155"/>
      </w:tblGrid>
      <w:tr>
        <w:trPr/>
        <w:tc>
          <w:tcPr>
            <w:tcW w:w="270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w:t>
              <w:br/>
              <w:t>2026</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Independent operator receivables and current portion of independent operator notes, net of allowance $15,761 and $12,253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accounts receivable, net of allowance $5 and $8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497,640 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Independent operator notes and receivables, net of allowance $15,216 and $15,291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1,089,838 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3,091,099 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and other taxes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363,996 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1,229,473 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2,177,872 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2,107,436 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9)</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$0.001 per share, 500,000,000 shares authorized; 99,084,492 and 98,153,086 shares issued and outstanding,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A preferred stock, par value $0.001 per share, 50,000,000 shares authorized; no shares issued and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816,593 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983,663 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2,994,465 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3,091,099 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GROCERY OUTLET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30"/>
        <w:gridCol w:w="1123"/>
        <w:gridCol w:w="114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73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2,305,339 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1,602,201 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703,138 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667,842 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and comprehensive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(net loss) per share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(net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GROCERY OUTLET HOLDING CORP.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amounts)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12"/>
        <w:gridCol w:w="445"/>
        <w:gridCol w:w="446"/>
        <w:gridCol w:w="540"/>
        <w:gridCol w:w="541"/>
        <w:gridCol w:w="196"/>
        <w:gridCol w:w="109"/>
        <w:gridCol w:w="109"/>
        <w:gridCol w:w="109"/>
        <w:gridCol w:w="214"/>
        <w:gridCol w:w="366"/>
        <w:gridCol w:w="111"/>
        <w:gridCol w:w="109"/>
        <w:gridCol w:w="109"/>
        <w:gridCol w:w="109"/>
        <w:gridCol w:w="943"/>
        <w:gridCol w:w="109"/>
        <w:gridCol w:w="109"/>
        <w:gridCol w:w="109"/>
        <w:gridCol w:w="245"/>
        <w:gridCol w:w="962"/>
        <w:gridCol w:w="126"/>
        <w:gridCol w:w="109"/>
        <w:gridCol w:w="109"/>
        <w:gridCol w:w="109"/>
        <w:gridCol w:w="244"/>
        <w:gridCol w:w="956"/>
        <w:gridCol w:w="126"/>
        <w:gridCol w:w="109"/>
        <w:gridCol w:w="109"/>
        <w:gridCol w:w="109"/>
        <w:gridCol w:w="211"/>
        <w:gridCol w:w="826"/>
        <w:gridCol w:w="160"/>
      </w:tblGrid>
      <w:tr>
        <w:trPr/>
        <w:tc>
          <w:tcPr>
            <w:tcW w:w="91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1524" w:type="dxa"/>
            <w:gridSpan w:val="6"/>
            <w:tcBorders/>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January 3,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98,153,086 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827,048 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156,517 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983,663 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Vesting of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769,586 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April 4,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98,922,672 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830,802 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(23,805)</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807,096 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and vesting of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and comprehensive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July 4, 2026</w:t>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99,084,492 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834,673 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(18,179)</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816,593 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40"/>
        <w:gridCol w:w="475"/>
        <w:gridCol w:w="477"/>
        <w:gridCol w:w="540"/>
        <w:gridCol w:w="541"/>
        <w:gridCol w:w="196"/>
        <w:gridCol w:w="109"/>
        <w:gridCol w:w="109"/>
        <w:gridCol w:w="109"/>
        <w:gridCol w:w="214"/>
        <w:gridCol w:w="366"/>
        <w:gridCol w:w="111"/>
        <w:gridCol w:w="109"/>
        <w:gridCol w:w="109"/>
        <w:gridCol w:w="109"/>
        <w:gridCol w:w="941"/>
        <w:gridCol w:w="109"/>
        <w:gridCol w:w="109"/>
        <w:gridCol w:w="109"/>
        <w:gridCol w:w="221"/>
        <w:gridCol w:w="867"/>
        <w:gridCol w:w="114"/>
        <w:gridCol w:w="109"/>
        <w:gridCol w:w="109"/>
        <w:gridCol w:w="109"/>
        <w:gridCol w:w="243"/>
        <w:gridCol w:w="952"/>
        <w:gridCol w:w="125"/>
        <w:gridCol w:w="109"/>
        <w:gridCol w:w="109"/>
        <w:gridCol w:w="109"/>
        <w:gridCol w:w="211"/>
        <w:gridCol w:w="976"/>
        <w:gridCol w:w="160"/>
      </w:tblGrid>
      <w:tr>
        <w:trPr/>
        <w:tc>
          <w:tcPr>
            <w:tcW w:w="84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1674" w:type="dxa"/>
            <w:gridSpan w:val="6"/>
            <w:tcBorders/>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28, 2024</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97,262,557 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815,858 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381,429 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1,197,384 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and vesting of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March 29,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98,005,068 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821,369 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358,112 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1,179,579 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 and vesting of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and comprehensive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June 28, 2025</w:t>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98,103,295 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823,671 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363,073 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1,186,842 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GROCERY OUTLET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9143" w:type="dxa"/>
        <w:jc w:val="center"/>
        <w:tblInd w:w="0" w:type="dxa"/>
        <w:tblLayout w:type="fixed"/>
        <w:tblCellMar>
          <w:top w:w="28" w:type="dxa"/>
          <w:left w:w="28" w:type="dxa"/>
          <w:bottom w:w="28" w:type="dxa"/>
          <w:right w:w="28" w:type="dxa"/>
        </w:tblCellMar>
      </w:tblPr>
      <w:tblGrid>
        <w:gridCol w:w="2326"/>
        <w:gridCol w:w="2047"/>
        <w:gridCol w:w="2061"/>
        <w:gridCol w:w="211"/>
        <w:gridCol w:w="901"/>
        <w:gridCol w:w="109"/>
        <w:gridCol w:w="109"/>
        <w:gridCol w:w="109"/>
        <w:gridCol w:w="109"/>
        <w:gridCol w:w="211"/>
        <w:gridCol w:w="796"/>
        <w:gridCol w:w="154"/>
      </w:tblGrid>
      <w:tr>
        <w:trPr/>
        <w:tc>
          <w:tcPr>
            <w:tcW w:w="2326"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and other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debt discounts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independent operator and other accounts receivable reserves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operator and other accounts receivable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inventories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and other taxes payable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independent operators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advances from independent operators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intangible assets and licenses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(136,156)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revolving credit facility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senior term loan due 2028</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GROCERY OUTLET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 Organization and Summary of Significant Accounting Policies</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Description of Business </w:t>
      </w:r>
      <w:r>
        <w:rPr>
          <w:color w:val="000000"/>
        </w:rPr>
        <w:t xml:space="preserve">— </w:t>
      </w:r>
      <w:r>
        <w:rPr>
          <w:rFonts w:ascii="Times New Roman;serif" w:hAnsi="Times New Roman;serif"/>
          <w:b w:val="false"/>
          <w:color w:val="000000"/>
          <w:sz w:val="20"/>
        </w:rPr>
        <w:t>Based in Emeryville, California, and incorporated in Delaware in 2014, Grocery Outlet Holding Corp. (together with its wholly owned subsidiaries, collectively, "Grocery Outlet," "we," or the "Company") is a growth-oriented, extreme value retailer of quality, name-brand consumables and fresh products sold primarily through a network of independently operated stores. As of July 4, 2026, we had 547 stores throughout California, Washington, Oregon, Pennsylvania, Tennessee, Nevada, Idaho, Maryland, North Carolina, Ohio, Virginia, Georgia, New Jersey, Alabama, Delaware and Kentucky.</w:t>
      </w:r>
    </w:p>
    <w:p>
      <w:pPr>
        <w:pStyle w:val="TextBody"/>
        <w:bidi w:val="0"/>
        <w:spacing w:lineRule="auto" w:line="288" w:before="120" w:after="283"/>
        <w:ind w:left="0" w:right="0" w:firstLine="540"/>
        <w:jc w:val="both"/>
        <w:rPr/>
      </w:pPr>
      <w:r>
        <w:rPr>
          <w:rFonts w:ascii="Times New Roman;serif" w:hAnsi="Times New Roman;serif"/>
          <w:b/>
          <w:color w:val="231F20"/>
          <w:sz w:val="20"/>
          <w:shd w:fill="FFFFFF" w:val="clear"/>
        </w:rPr>
        <w:t>Fiscal Year and Quarters</w:t>
      </w:r>
      <w:r>
        <w:rPr>
          <w:color w:val="000000"/>
        </w:rPr>
        <w:t xml:space="preserve"> — </w:t>
      </w:r>
      <w:r>
        <w:rPr>
          <w:rFonts w:ascii="Times New Roman;serif" w:hAnsi="Times New Roman;serif"/>
          <w:b w:val="false"/>
          <w:color w:val="000000"/>
          <w:sz w:val="20"/>
        </w:rPr>
        <w:t>We operate on a fiscal year that ends on the Saturday closest to December 31st each year. The fiscal years ending January 2, 2027 ("fiscal 2026") and ended January 3, 2026 ("fiscal 2025") consist of 52 weeks and 53 weeks, respectively. References to the second quarter of fiscal 2026 and the second quarter of fiscal 2025 refer to the 13 weeks ended July 4, 2026 and June 28, 2025, respectively. References to the first half of fiscal 2026 and the first half of fiscal 2025 refer to the 26 weeks ended July 4, 2026 and June 28, 2025, respectively.</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Basis of Presentation </w:t>
      </w:r>
      <w:r>
        <w:rPr>
          <w:color w:val="000000"/>
        </w:rPr>
        <w:t>— </w:t>
      </w: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of America ("GAAP") and the applicable rules and regulations of the United States ("U.S.") Securities and Exchange Commission ("SEC") for interim reporting. Certain information and note disclosures included in our annual financial statements prepared in accordance with GAAP have been condensed or omitted pursuant to such rules and regulations. The accompanying unaudited condensed consolidated financial statements should be read in conjunction with the audited consolidated financial statements included in our Annual Report on Form 10-K for fiscal 2025 (the "2025 Form 10-K"). The condensed consolidated balance sheet as of January 3, 2026 included herein has been derived from those audited consolidated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include the accounts of Grocery Outlet Holding Corp. and its wholly owned subsidiaries. All intercompany balances and transactions were eliminated. In the opinion of management, these condensed consolidated financial statements include all adjustments, consisting of normal recurring adjustments, necessary for a fair statement of the results for the periods presented. The interim results of operations and cash flows are not necessarily indicative of those results and cash flows expected for any future interim or annual period. Prior period amounts have been reclassified to conform to current period presentation.</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Use of Estimates </w:t>
      </w:r>
      <w:r>
        <w:rPr>
          <w:color w:val="000000"/>
        </w:rPr>
        <w:t xml:space="preserve">— </w:t>
      </w:r>
      <w:r>
        <w:rPr>
          <w:rFonts w:ascii="Times New Roman;serif" w:hAnsi="Times New Roman;serif"/>
          <w:b w:val="false"/>
          <w:color w:val="000000"/>
          <w:sz w:val="20"/>
        </w:rPr>
        <w:t>The preparation of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can differ from these estimates depending upon certain risks and uncertainties. Changes in these estimates are recorded when known. We consider our accounting policies relating to long-lived asset impairment and goodwill impairment to be significant accounting policies that involve management's estimates and judgments.</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Merchandise Inventories </w:t>
      </w:r>
      <w:r>
        <w:rPr>
          <w:color w:val="000000"/>
        </w:rPr>
        <w:t xml:space="preserve">— </w:t>
      </w:r>
      <w:r>
        <w:rPr>
          <w:rFonts w:ascii="Times New Roman;serif" w:hAnsi="Times New Roman;serif"/>
          <w:b w:val="false"/>
          <w:color w:val="000000"/>
          <w:sz w:val="20"/>
        </w:rPr>
        <w:t>Merchandise inventories are valued at the lower of cost or net realizable value. Cost is primarily determined by the weighted-average cost method for warehouse inventories and the retail inventory method for store inventories. We provide for estimated inventory losses between physical inventory counts based on historical averages. This provision is adjusted periodically to reflect the actual shrink results of the physical inventory counts.</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Leases </w:t>
      </w:r>
      <w:r>
        <w:rPr>
          <w:color w:val="000000"/>
        </w:rPr>
        <w:t xml:space="preserve">— </w:t>
      </w:r>
      <w:r>
        <w:rPr>
          <w:rFonts w:ascii="Times New Roman;serif" w:hAnsi="Times New Roman;serif"/>
          <w:b w:val="false"/>
          <w:color w:val="000000"/>
          <w:sz w:val="20"/>
        </w:rPr>
        <w:t>We determine if an arrangement is a lease at inception. Operating leases are included in operating lease right-of-use assets, current lease liabilities, and long-term lease liabilities in our condensed consolidated balance sheets. Finance leases are included in other assets, current lease liabilities, and long-term lease liabilities in our condensed consolidated balance sheets. Right-of-use assets represent our right to use an underlying asset for the lease term and lease liabilities represent our obligation to make lease payments arising from the lease over the same term. Right-of-use assets and liabilities are recognized at the commencement date based on the present value of the lease payments over the lease term, reduced by landlord incentives. As most of our leases do not provide an implicit rate, we use our incremental borrowing rate, which is estimated to approximate the interest rate on a collateralized basis with similar terms and payments based on the information available at the commencement date, to determine the present value of our lease payments. Lease term is defined as the non-cancelable period of the lease plus any options to extend or terminate the lease when it is reasonably certain that we will exercise the option. Lease expense for operating lease payments is recognized on a straight-line basis over the lease term while finance lease payments are charged to interest expense and depreciation and amortization expense over the lease term. Leases with an initial term of 12 months or less are not recorded on the balance sheet; lease expense for these short-term leases is recognized on a straight-line basis over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generally lease retail facilities for store locations, distribution centers, office space and equipment and account for these leases as operating leases. We account for certain equipment leases as finance leases. Lease and non-lease components are accounted for separately. We sublease certain real estate to unrelated third parties under non-cancelable leases and the sublease portfolio consists of operating leases for retail stores.</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Goodwill </w:t>
      </w:r>
      <w:r>
        <w:rPr>
          <w:color w:val="000000"/>
        </w:rPr>
        <w:t xml:space="preserve">— </w:t>
      </w:r>
      <w:r>
        <w:rPr>
          <w:rFonts w:ascii="Times New Roman;serif" w:hAnsi="Times New Roman;serif"/>
          <w:b w:val="false"/>
          <w:color w:val="000000"/>
          <w:sz w:val="20"/>
        </w:rPr>
        <w:t>We have goodwill recorded on our condensed consolidated balance sheets. Goodwill represents the difference between the purchase price and the fair value of assets and liabilities acquired in a business combination. Goodwill is not amortized, but rather is subject to an annual impairment evaluation which is performed during our fourth quarter or when events or changes in circumstances indicate that the value of goodwill may be impaired. Our impairment evaluation of goodwill generally consists of an initial qualitative assessment of our reporting unit to determine whether it is more-likely-than-not that the fair value of the reporting unit is less than its carrying value. If it is concluded that this is the case, a quantitative assessment, based on a combination of discounted cash flows and a market approach based on revenue and earnings multiples, is performed which requires us to estimate future cash flows, growth rates and economic and market conditions. If the quantitative assessment indicates that the carrying value of our reporting unit exceeds its fair value, an impairment loss is calculated and recognized during that period. Measurement of such an impairment loss would be based on the excess of the carrying amount over fair value. The Company has one reporting unit for purposes of testing goodwill for impairment. During the first quarter of fiscal 2026, we recorded a goodwill impairment charge of $158.0 million. No goodwill impairment charges were recorded during the second quarter of fiscal 2026, and no goodwill impairment charges were recorded during the first half of fiscal 2025. Goodwill impairment charges are included in Goodwill impairment on the condensed consolidated statements of operations and comprehensive income (loss). See Note 3 for additional information.</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Fair Value Measurements </w:t>
      </w:r>
      <w:r>
        <w:rPr>
          <w:color w:val="000000"/>
        </w:rPr>
        <w:t xml:space="preserve">— </w:t>
      </w:r>
      <w:r>
        <w:rPr>
          <w:rFonts w:ascii="Times New Roman;serif" w:hAnsi="Times New Roman;serif"/>
          <w:b w:val="false"/>
          <w:color w:val="000000"/>
          <w:sz w:val="20"/>
        </w:rPr>
        <w:t>Fair value is defined as the exchange price, or exit price, representing the amount that would be received to sell an asset or paid to transfer a liability in an orderly transaction between market participants. The fair value of financial instruments is categorized based on the level of judgment associated with the inputs used to measure their fair values. Fair value is measured using inputs from the three levels of the fair value hierarchy, which are described as follows:</w:t>
      </w:r>
    </w:p>
    <w:p>
      <w:pPr>
        <w:pStyle w:val="TextBody"/>
        <w:bidi w:val="0"/>
        <w:spacing w:lineRule="auto" w:line="288" w:before="120" w:after="283"/>
        <w:ind w:left="0" w:right="0" w:hanging="360"/>
        <w:jc w:val="both"/>
        <w:rPr/>
      </w:pPr>
      <w:r>
        <w:rPr>
          <w:rFonts w:ascii="Times New Roman;serif" w:hAnsi="Times New Roman;serif"/>
          <w:b/>
          <w:color w:val="000000"/>
          <w:sz w:val="20"/>
        </w:rPr>
        <w:t xml:space="preserve">Level 1 </w:t>
      </w:r>
      <w:r>
        <w:rPr>
          <w:color w:val="000000"/>
        </w:rPr>
        <w:t xml:space="preserve">— </w:t>
      </w:r>
      <w:r>
        <w:rPr>
          <w:rFonts w:ascii="Times New Roman;serif" w:hAnsi="Times New Roman;serif"/>
          <w:b w:val="false"/>
          <w:color w:val="000000"/>
          <w:sz w:val="20"/>
        </w:rPr>
        <w:t>Quoted prices in active markets for identical assets or liabilities</w:t>
      </w:r>
    </w:p>
    <w:p>
      <w:pPr>
        <w:pStyle w:val="TextBody"/>
        <w:bidi w:val="0"/>
        <w:spacing w:lineRule="auto" w:line="288" w:before="60" w:after="283"/>
        <w:ind w:left="0" w:right="0" w:hanging="360"/>
        <w:jc w:val="both"/>
        <w:rPr/>
      </w:pPr>
      <w:r>
        <w:rPr>
          <w:rFonts w:ascii="Times New Roman;serif" w:hAnsi="Times New Roman;serif"/>
          <w:b/>
          <w:color w:val="000000"/>
          <w:sz w:val="20"/>
        </w:rPr>
        <w:t xml:space="preserve">Level 2 </w:t>
      </w:r>
      <w:r>
        <w:rPr>
          <w:color w:val="000000"/>
        </w:rPr>
        <w:t xml:space="preserve">— </w:t>
      </w:r>
      <w:r>
        <w:rPr>
          <w:rFonts w:ascii="Times New Roman;serif" w:hAnsi="Times New Roman;serif"/>
          <w:b w:val="false"/>
          <w:color w:val="000000"/>
          <w:sz w:val="20"/>
        </w:rPr>
        <w:t>Quoted prices for similar assets and liabilities in active markets or inputs that are observable</w:t>
      </w:r>
    </w:p>
    <w:p>
      <w:pPr>
        <w:pStyle w:val="TextBody"/>
        <w:bidi w:val="0"/>
        <w:spacing w:lineRule="auto" w:line="288" w:before="60" w:after="283"/>
        <w:ind w:left="0" w:right="0" w:hanging="990"/>
        <w:jc w:val="both"/>
        <w:rPr/>
      </w:pPr>
      <w:r>
        <w:rPr>
          <w:rFonts w:ascii="Times New Roman;serif" w:hAnsi="Times New Roman;serif"/>
          <w:b/>
          <w:color w:val="000000"/>
          <w:sz w:val="20"/>
        </w:rPr>
        <w:t xml:space="preserve">Level 3 </w:t>
      </w:r>
      <w:r>
        <w:rPr>
          <w:color w:val="000000"/>
        </w:rPr>
        <w:t xml:space="preserve">— </w:t>
      </w:r>
      <w:r>
        <w:rPr>
          <w:rFonts w:ascii="Times New Roman;serif" w:hAnsi="Times New Roman;serif"/>
          <w:b w:val="false"/>
          <w:color w:val="000000"/>
          <w:sz w:val="20"/>
        </w:rPr>
        <w:t>Unobservable inputs in which there is little or no market data, which requires us to develop our own assumptions when pricing the financial instruments, such as cash flow modeling assumptions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assets' or liabilities' fair value measurement level within the fair value hierarchy is based on the lowest level of any input that is significant to the fair value measurement. The fair value framework requires that we maximize the use of observable inputs and minimize the use of unobservable inputs when measuring fair value.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assets or liabilities measured at fair value on a recurring basis as of July 4, 2026 or January 3,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Generally, long-lived assets and goodwill are recorded at fair value on a non-recurring basis after such assets have been impaired. As of July 4, 2026 and January 3, 2026, certain long-lived assets were determined to be impaired and as such were measured at fair value at the time of the impairment determination. For the second quarter and first half of fiscal 2026, we recognized $0.8 million and $1.4 million of impairment of long-lived assets, respectively, which was included in Selling, general and administrative expenses ("SG&amp;A") on the condensed consolidated statements of operations and comprehensive income (loss). For the second quarter and first half of fiscal 2025, we recognized $9.0 million and $10.8 million of impairment of long-lived assets, respectively, of which $6.1 million and $7.9 million, respectively, resulted from the Restructuring Plan, as defined in Note 12, and was included in Restructuring charges, net, and $2.9 million in each respective period was included in SG&amp;A on the condensed consolidated statements of operations and comprehensive income (loss). For discussion on the fair value determination of goodwill and the impairment charge recorded in the first half of fiscal 2026, see Note 1 under "Goodwill" and Note 3. For additional information, see "Property and Equipment" and "Goodwill and Other Intangible Assets" within Note 1 to the consolidated financial statements in our 2025 Form 10-K. Fair value was determined using Level 3 inputs at the time of impairment.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There </w:t>
      </w:r>
      <w:r>
        <w:rPr>
          <w:rFonts w:ascii="Times New Roman;serif" w:hAnsi="Times New Roman;serif"/>
          <w:b w:val="false"/>
          <w:color w:val="000000"/>
          <w:sz w:val="20"/>
          <w:shd w:fill="FFFFFF" w:val="clear"/>
        </w:rPr>
        <w:t>w</w:t>
      </w:r>
      <w:r>
        <w:rPr>
          <w:rFonts w:ascii="Times New Roman;serif" w:hAnsi="Times New Roman;serif"/>
          <w:b w:val="false"/>
          <w:color w:val="000000"/>
          <w:sz w:val="20"/>
        </w:rPr>
        <w:t>ere no transfers of assets or liabilities between levels within the fair value hierarchy during the second quarter and first half of fiscal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financial assets and liabilities are carried at cost, which generally approximates their fair value, as described below:</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Cash and cash equivalents, independent operator ("IO") receivables, other accounts receivable and trade accounts payable </w:t>
      </w:r>
      <w:r>
        <w:rPr>
          <w:color w:val="000000"/>
        </w:rPr>
        <w:t xml:space="preserve">— </w:t>
      </w:r>
      <w:r>
        <w:rPr>
          <w:rFonts w:ascii="Times New Roman;serif" w:hAnsi="Times New Roman;serif"/>
          <w:b w:val="false"/>
          <w:color w:val="000000"/>
          <w:sz w:val="20"/>
        </w:rPr>
        <w:t>The carrying value of such financial instruments approximates their fair value due to factors such as their short-term nature, their variable interest rates or the effect of the related allowance for expected credit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Independent operator notes </w:t>
      </w:r>
      <w:r>
        <w:rPr>
          <w:color w:val="000000"/>
        </w:rPr>
        <w:t xml:space="preserve">— </w:t>
      </w:r>
      <w:r>
        <w:rPr>
          <w:rFonts w:ascii="Times New Roman;serif" w:hAnsi="Times New Roman;serif"/>
          <w:b w:val="false"/>
          <w:color w:val="000000"/>
          <w:sz w:val="20"/>
        </w:rPr>
        <w:t>The carrying value of such financial instruments approximates their fair value due to the effect of the related allowance for expected credit losses. In the first half of fiscal 2026, we increased our allowance for IO notes and IO receivables in connection with Operator Agreement Terminations, as discussed further in Note 2 and Note 12.</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Long-term debt</w:t>
      </w:r>
      <w:r>
        <w:rPr>
          <w:color w:val="000000"/>
        </w:rPr>
        <w:t xml:space="preserve"> — </w:t>
      </w:r>
      <w:r>
        <w:rPr>
          <w:rFonts w:ascii="Times New Roman;serif" w:hAnsi="Times New Roman;serif"/>
          <w:b w:val="false"/>
          <w:color w:val="000000"/>
          <w:sz w:val="20"/>
        </w:rPr>
        <w:t>The following table sets forth by level within the fair value hierarchy the carrying amounts and estimated fair values of our significant financial liabilities that are not recorded at fair value on the condensed consolidated balance sheets (amounts in thousands):</w:t>
      </w:r>
    </w:p>
    <w:tbl>
      <w:tblPr>
        <w:tblW w:w="10205" w:type="dxa"/>
        <w:jc w:val="left"/>
        <w:tblInd w:w="0" w:type="dxa"/>
        <w:tblLayout w:type="fixed"/>
        <w:tblCellMar>
          <w:top w:w="28" w:type="dxa"/>
          <w:left w:w="28" w:type="dxa"/>
          <w:bottom w:w="28" w:type="dxa"/>
          <w:right w:w="28" w:type="dxa"/>
        </w:tblCellMar>
      </w:tblPr>
      <w:tblGrid>
        <w:gridCol w:w="942"/>
        <w:gridCol w:w="826"/>
        <w:gridCol w:w="832"/>
        <w:gridCol w:w="284"/>
        <w:gridCol w:w="1113"/>
        <w:gridCol w:w="146"/>
        <w:gridCol w:w="109"/>
        <w:gridCol w:w="109"/>
        <w:gridCol w:w="109"/>
        <w:gridCol w:w="320"/>
        <w:gridCol w:w="1258"/>
        <w:gridCol w:w="166"/>
        <w:gridCol w:w="109"/>
        <w:gridCol w:w="109"/>
        <w:gridCol w:w="109"/>
        <w:gridCol w:w="284"/>
        <w:gridCol w:w="1113"/>
        <w:gridCol w:w="146"/>
        <w:gridCol w:w="109"/>
        <w:gridCol w:w="109"/>
        <w:gridCol w:w="109"/>
        <w:gridCol w:w="316"/>
        <w:gridCol w:w="1241"/>
        <w:gridCol w:w="237"/>
      </w:tblGrid>
      <w:tr>
        <w:trPr/>
        <w:tc>
          <w:tcPr>
            <w:tcW w:w="94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w:t>
              <w:br/>
              <w:t>2026</w:t>
            </w:r>
          </w:p>
        </w:tc>
      </w:tr>
      <w:tr>
        <w:trPr/>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Carrying Amount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Estimated Fair Value </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Carrying Amount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Estimated Fair Value </w:t>
            </w:r>
            <w:r>
              <w:rPr>
                <w:rFonts w:ascii="Times New Roman;serif" w:hAnsi="Times New Roman;serif"/>
                <w:b/>
                <w:color w:val="000000"/>
                <w:sz w:val="13"/>
              </w:rPr>
              <w:t>(2)</w:t>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term loan (Level 2)</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273,750 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(Level 2)</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283"/>
        <w:ind w:left="0" w:right="0" w:hanging="540"/>
        <w:jc w:val="both"/>
        <w:rPr/>
      </w:pPr>
      <w:r>
        <w:rPr>
          <w:rFonts w:ascii="Times New Roman;serif" w:hAnsi="Times New Roman;serif"/>
          <w:b w:val="false"/>
          <w:color w:val="000000"/>
          <w:sz w:val="18"/>
        </w:rPr>
        <w:t>(1)The carrying amounts of the senior term loan as of July 4, 2026 and January 3, 2026 were net of debt issuance costs of $0.6 million</w:t>
      </w:r>
      <w:r>
        <w:rPr>
          <w:color w:val="000000"/>
          <w:shd w:fill="FFFFFF" w:val="clear"/>
        </w:rPr>
        <w:t xml:space="preserve"> </w:t>
      </w:r>
      <w:r>
        <w:rPr>
          <w:rFonts w:ascii="Times New Roman;serif" w:hAnsi="Times New Roman;serif"/>
          <w:b w:val="false"/>
          <w:color w:val="000000"/>
          <w:sz w:val="18"/>
          <w:shd w:fill="FFFFFF" w:val="clear"/>
        </w:rPr>
        <w:t xml:space="preserve">and </w:t>
      </w:r>
      <w:r>
        <w:rPr>
          <w:rFonts w:ascii="Times New Roman;serif" w:hAnsi="Times New Roman;serif"/>
          <w:b w:val="false"/>
          <w:color w:val="000000"/>
          <w:sz w:val="18"/>
        </w:rPr>
        <w:t>$0.8 million, respectively.</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(2)The estimated fair value of the senior term loan and revolving credit facility borrowings under the 2023 Credit Agreement, as defined in Note 4, was deemed to approximate the carrying value, excluding unamortized debt issuance costs, because the interest rate is variable with short reset periods and is reflective of the current market rate.</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 xml:space="preserve">Revenue Recognition </w:t>
      </w:r>
    </w:p>
    <w:p>
      <w:pPr>
        <w:pStyle w:val="TextBody"/>
        <w:bidi w:val="0"/>
        <w:spacing w:lineRule="auto" w:line="288" w:before="120" w:after="283"/>
        <w:ind w:left="0" w:right="0" w:firstLine="540"/>
        <w:jc w:val="both"/>
        <w:rPr/>
      </w:pPr>
      <w:r>
        <w:rPr>
          <w:rFonts w:ascii="Times New Roman;serif" w:hAnsi="Times New Roman;serif"/>
          <w:b/>
          <w:i/>
          <w:color w:val="000000"/>
          <w:sz w:val="20"/>
        </w:rPr>
        <w:t>Net Sales</w:t>
      </w:r>
      <w:r>
        <w:rPr>
          <w:color w:val="000000"/>
        </w:rPr>
        <w:t xml:space="preserve"> — </w:t>
      </w:r>
      <w:r>
        <w:rPr>
          <w:rFonts w:ascii="Times New Roman;serif" w:hAnsi="Times New Roman;serif"/>
          <w:b w:val="false"/>
          <w:color w:val="000000"/>
          <w:sz w:val="20"/>
        </w:rPr>
        <w:t xml:space="preserve">We recognize revenue from the sale of products at the point of sale, net of any taxes or deposits collected and remitted to governmental authorities. For e-commerce related sales in which a third-party provides home delivery service, revenue is recognized upon delivery to the customer. Our performance obligations are satisfied upon the transfer of goods to the customer, at the point of sale, and payment from customers is also due at the time of sale. Discounts provided to customers by us are recognized at the time of sale as a reduction in net sales as the products are sold. Discounts provided by IOs are not recognized as a reduction in net sales as these are provided solely by the IO who bears the incremental costs arising from the discount. We do not accept manufacturer coupons.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did not have any material contract assets or receivables from contracts with customers, any revenue recognized in the current year periods from performance obligations satisfied in previous periods, any material performance obligations other than our gift card deferred revenue liability, or any material costs to obtain or fulfill a contract as of July 4, 2026 and January 3, 2026.</w:t>
      </w:r>
    </w:p>
    <w:p>
      <w:pPr>
        <w:pStyle w:val="TextBody"/>
        <w:bidi w:val="0"/>
        <w:spacing w:lineRule="auto" w:line="288" w:before="120" w:after="283"/>
        <w:ind w:left="0" w:right="0" w:firstLine="540"/>
        <w:jc w:val="both"/>
        <w:rPr/>
      </w:pPr>
      <w:r>
        <w:rPr>
          <w:rFonts w:ascii="Times New Roman;serif" w:hAnsi="Times New Roman;serif"/>
          <w:b/>
          <w:i/>
          <w:color w:val="000000"/>
          <w:sz w:val="20"/>
        </w:rPr>
        <w:t>Gift Cards</w:t>
      </w:r>
      <w:r>
        <w:rPr>
          <w:color w:val="000000"/>
        </w:rPr>
        <w:t xml:space="preserve"> — </w:t>
      </w:r>
      <w:r>
        <w:rPr>
          <w:rFonts w:ascii="Times New Roman;serif" w:hAnsi="Times New Roman;serif"/>
          <w:b w:val="false"/>
          <w:color w:val="000000"/>
          <w:sz w:val="20"/>
        </w:rPr>
        <w:t>We record a deferred revenue liability when a Grocery Outlet gift card is sold. Revenue related to gift cards is recognized as the gift cards are redeemed, which is when we have satisfied our performance obligation. While gift cards are generally redeemed within 12 months, some are never fully redeemed. We reduce the liability and recognize revenue for the unused portion of the gift cards ("breakage") under the proportional method, where recognition of breakage income is based upon the historical run-off rate of unredeemed gift cards. Our gift card deferred revenue liability was $3.5 million and $4.5 million as of July 4, 2026 and January 3, 2026, respectively. Breakage amounts were immaterial for both the second quarter and first half of fiscal 2026 and fiscal 2025.</w:t>
      </w:r>
    </w:p>
    <w:p>
      <w:pPr>
        <w:pStyle w:val="TextBody"/>
        <w:bidi w:val="0"/>
        <w:spacing w:lineRule="auto" w:line="288" w:before="120" w:after="283"/>
        <w:ind w:left="0" w:right="0" w:firstLine="540"/>
        <w:jc w:val="both"/>
        <w:rPr/>
      </w:pPr>
      <w:r>
        <w:rPr>
          <w:rFonts w:ascii="Times New Roman;serif" w:hAnsi="Times New Roman;serif"/>
          <w:b/>
          <w:i/>
          <w:color w:val="000000"/>
          <w:sz w:val="20"/>
        </w:rPr>
        <w:t>Disaggregated Revenues</w:t>
      </w:r>
      <w:r>
        <w:rPr>
          <w:color w:val="000000"/>
        </w:rPr>
        <w:t xml:space="preserve"> — </w:t>
      </w:r>
      <w:r>
        <w:rPr>
          <w:rFonts w:ascii="Times New Roman;serif" w:hAnsi="Times New Roman;serif"/>
          <w:b w:val="false"/>
          <w:color w:val="000000"/>
          <w:sz w:val="20"/>
        </w:rPr>
        <w:t>The following table presents net sales revenue by type of product for the periods presented (amounts in thousands):</w:t>
      </w:r>
    </w:p>
    <w:tbl>
      <w:tblPr>
        <w:tblW w:w="7784" w:type="dxa"/>
        <w:jc w:val="left"/>
        <w:tblInd w:w="0" w:type="dxa"/>
        <w:tblLayout w:type="fixed"/>
        <w:tblCellMar>
          <w:top w:w="28" w:type="dxa"/>
          <w:left w:w="28" w:type="dxa"/>
          <w:bottom w:w="28" w:type="dxa"/>
          <w:right w:w="28" w:type="dxa"/>
        </w:tblCellMar>
      </w:tblPr>
      <w:tblGrid>
        <w:gridCol w:w="569"/>
        <w:gridCol w:w="500"/>
        <w:gridCol w:w="505"/>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Perishable </w:t>
            </w:r>
            <w:r>
              <w:rPr>
                <w:rFonts w:ascii="Times New Roman;serif" w:hAnsi="Times New Roman;serif"/>
                <w:b w:val="false"/>
                <w:color w:val="000000"/>
                <w:sz w:val="16"/>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896,359 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881,778 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Non-perishable </w:t>
            </w:r>
            <w:r>
              <w:rPr>
                <w:rFonts w:ascii="Times New Roman;serif" w:hAnsi="Times New Roman;serif"/>
                <w:b w:val="false"/>
                <w:color w:val="000000"/>
                <w:sz w:val="16"/>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1,192,764 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1,179,772 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2,359,116 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2,305,339 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 xml:space="preserve">(1)    Perishable departments include dairy and deli; produce and floral; and fresh meat and seafood. </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    Non-perishable departments include non-perishable grocery; frozen foods; beer and wine; general merchandise; and health and beauty care.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ind w:left="0" w:right="0" w:firstLine="540"/>
        <w:jc w:val="both"/>
        <w:rPr/>
      </w:pPr>
      <w:r>
        <w:rPr>
          <w:rFonts w:ascii="Times New Roman;serif" w:hAnsi="Times New Roman;serif"/>
          <w:b/>
          <w:color w:val="000000"/>
          <w:sz w:val="20"/>
        </w:rPr>
        <w:t xml:space="preserve">Variable Interest Entities </w:t>
      </w:r>
      <w:r>
        <w:rPr>
          <w:color w:val="000000"/>
        </w:rPr>
        <w:t xml:space="preserve">— </w:t>
      </w:r>
      <w:r>
        <w:rPr>
          <w:rFonts w:ascii="Times New Roman;serif" w:hAnsi="Times New Roman;serif"/>
          <w:b w:val="false"/>
          <w:color w:val="000000"/>
          <w:sz w:val="20"/>
        </w:rPr>
        <w:t xml:space="preserve">In accordance with the variable interest entities sub-section of Accounting Standards Codification ("ASC") Topic 810, </w:t>
      </w:r>
      <w:r>
        <w:rPr>
          <w:rFonts w:ascii="Times New Roman;serif" w:hAnsi="Times New Roman;serif"/>
          <w:b w:val="false"/>
          <w:i/>
          <w:color w:val="000000"/>
          <w:sz w:val="20"/>
        </w:rPr>
        <w:t>Consolidation</w:t>
      </w:r>
      <w:r>
        <w:rPr>
          <w:rFonts w:ascii="Times New Roman;serif" w:hAnsi="Times New Roman;serif"/>
          <w:b w:val="false"/>
          <w:color w:val="000000"/>
          <w:sz w:val="20"/>
        </w:rPr>
        <w:t>, we assess at each reporting period whether we, or any consolidated entity, are considered the primary beneficiary of a variable interest entity ("VIE") and therefore required to consolidate the financial results of the VIE in our condensed consolidated financial statements. Determining whether to consolidate a VIE may require judgment in assessing (i) whether an entity is a VIE, and (ii) if a reporting entity is a VIE's primary beneficiary. A reporting entity is determined to be a VIE's primary beneficiary if it has the power to direct the activities that most significantly impact a VIE's economic performance and the obligation to absorb losses or rights to receive benefits that could potentially be significant to a VIE.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w:t>
      </w:r>
      <w:r>
        <w:rPr>
          <w:rFonts w:ascii="Times New Roman;serif" w:hAnsi="Times New Roman;serif"/>
          <w:b w:val="false"/>
          <w:color w:val="000000"/>
          <w:sz w:val="20"/>
          <w:shd w:fill="FFFFFF" w:val="clear"/>
        </w:rPr>
        <w:t xml:space="preserve">e </w:t>
      </w:r>
      <w:r>
        <w:rPr>
          <w:rFonts w:ascii="Times New Roman;serif" w:hAnsi="Times New Roman;serif"/>
          <w:b w:val="false"/>
          <w:color w:val="000000"/>
          <w:sz w:val="20"/>
        </w:rPr>
        <w:t>had 502,</w:t>
      </w:r>
      <w:r>
        <w:rPr>
          <w:color w:val="000000"/>
          <w:shd w:fill="FFFFFF" w:val="clear"/>
        </w:rPr>
        <w:t xml:space="preserve"> </w:t>
      </w:r>
      <w:r>
        <w:rPr>
          <w:rFonts w:ascii="Times New Roman;serif" w:hAnsi="Times New Roman;serif"/>
          <w:b w:val="false"/>
          <w:color w:val="000000"/>
          <w:sz w:val="20"/>
          <w:shd w:fill="FFFFFF" w:val="clear"/>
        </w:rPr>
        <w:t>529 a</w:t>
      </w:r>
      <w:r>
        <w:rPr>
          <w:rFonts w:ascii="Times New Roman;serif" w:hAnsi="Times New Roman;serif"/>
          <w:b w:val="false"/>
          <w:color w:val="000000"/>
          <w:sz w:val="20"/>
        </w:rPr>
        <w:t>nd 511 stores operated by IOs as of July 4, 2026, January 3, 2026 and June 28, 2025, respectively. We have agreements in place with each IO. The IO orders merchandise exclusively from us which is provided to the IO on consignment. Under the independent operator agreement (the "Operator Agreement"), the IO selects a majority of merchandise that we consign to the IO, which the IO chooses from our merchandise order guide according to the IO's knowledge and experience with local customer purchasing trends, preferences, historical sales and similar factors. The Operator Agreement gives the IO discretion to adjust our initial prices if the overall effect of all price changes at any time comports with the reputation of our Grocery Outlet retail stores for selling quality, name-brand consumables and fresh products and other merchandise at extreme discounts. The IO is required to furnish initial working capital and to acquire certain store and safety assets. The IO is also required to hire, train and employ a properly trained workforce sufficient in number to enable the IO to fulfill its obligations under the Operator Agreement. Additionally, the IO is responsible for expenses required for business operations, including all labor costs, utilities, credit card processing fees, supplies, taxes, fines, levies and other expenses. Either party may terminate the Operator Agreement without cause upon no less than 75 days' notice.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consignor of all merchandise to each IO, the aggregate net sales proceeds from merchandise sales belongs to us. Net sales related to IO stores were $1.13 billion and $1.12 billion for the second quarter of fiscal 2026 and fiscal 2025, respectively, and $2.24 billion and $2.19 billion for the first half of fiscal 2026 and fiscal 2025, respectively. We, in turn, pay each IO a commission based on a share of the gross profit of the store. Inventories and related net sales proceeds are our property, and we are responsible for store rent and related occupancy costs. IO commissions are expensed and included in SG&amp;A. IO commissions were $169.7 million and $169.7 million for the second quarter of fiscal 2026 and fiscal 2025, respectively, and $340.7 million and $331.4 million for the first half of fiscal 2026 and fiscal 2025, respectively. IO commissions of $7.7 million and $6.1 million were included in accrued and other current liabilities as of July 4, 2026 and January 3, 2026,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 IO may fund its initial store investment from existing capital, a third-party loan or most commonly through a loan from us, as further discussed in Note 2. As collateral for IO obligations and performance, the Operator Agreement grants us the security interests in the assets owned by each IO related to the respective store. Since the total investment at risk associated with each IO is not sufficient to permit each IO to finance its activities without additional subordinated financial support, each IO is a VIE that we have a variable interest in. To determine if we are the primary beneficiary of a VIE, we evaluate whether we have (i) the power to direct the activities that most significantly impact the IO's economic performance and (ii) the obligation to absorb losses or the right to receive benefits of the IO that could potentially be significant to the IO. Our evaluation includes identification of significant activities and an assessment of the IO's ability to direct those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Activities that most significantly impact the IO's economic performance relate to sales and labor. Sales activities that significantly impact the IO's economic performance include determining what merchandise the IO will order and sell and the price of such merchandise, both of which the IO controls. The IO is also responsible for all of its own labor. Labor activities that significantly impact the IO's economic performance include hiring, training, supervising, directing, compensating (including wages, salaries and employee benefits) and terminating all of the employees of the IO, activities which the IO controls. Accordingly, the IO has the power to direct the activities that most significantly impact the IO's economic performance. Furthermore, the mutual termination rights associated with the Operator Agreement illustrate the lack of ultimate control over the IO. Therefore, we are not the primary beneficiary of these VIEs.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maximum exposure, in accordance with ASC Topic 810, to the IOs is generally limited to the IO notes and IO receivables due from these entities, which were $82.3 million and $88.3 million, gross, as of July 4, 2026 and January 3, 2026, respectively. See Note 2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120" w:after="283"/>
        <w:ind w:left="0" w:right="0" w:firstLine="540"/>
        <w:jc w:val="both"/>
        <w:rPr/>
      </w:pPr>
      <w:r>
        <w:rPr>
          <w:rFonts w:ascii="Times New Roman;serif" w:hAnsi="Times New Roman;serif"/>
          <w:b/>
          <w:i/>
          <w:color w:val="000000"/>
          <w:sz w:val="20"/>
          <w:shd w:fill="FFFFFF" w:val="clear"/>
        </w:rPr>
        <w:t>Accounting Standards Update ("ASU") No. 2024-03</w:t>
      </w:r>
      <w:r>
        <w:rPr>
          <w:color w:val="000000"/>
          <w:shd w:fill="FFFFFF" w:val="clear"/>
        </w:rPr>
        <w:t xml:space="preserve"> — </w:t>
      </w:r>
      <w:r>
        <w:rPr>
          <w:rFonts w:ascii="Times New Roman;serif" w:hAnsi="Times New Roman;serif"/>
          <w:b w:val="false"/>
          <w:color w:val="000000"/>
          <w:sz w:val="20"/>
          <w:shd w:fill="FFFFFF" w:val="clear"/>
        </w:rPr>
        <w:t>In November 2024, the FASB issued ASU No. 2024-03, Income Statement—Reporting Comprehensive Income—Expense Disaggregation Disclosures (Subtopic 220-40) ("ASU 2024-03"). ASU 2024-03 requires public entities to disclose, in the notes to financial statements, specified information about certain costs and expenses, including the amounts of purchases of inventory, employee compensation, depreciation and intangible asset amortization included in each expense caption presented on the face of the income statement, a qualitative description of the amounts remaining in these expense captions that are not separately disaggregated quantitatively, and the total amount of selling expenses and an entity's definition of selling expenses. ASU 2024-03, as clarified by ASU No. 2025-01, Income Statement—Reporting Comprehensive Income—Expense Disaggregation Disclosures (Subtopic 220-40), is effective for annual reporting periods beginning after December 15, 2026 and interim reporting periods within annual reporting periods beginning after December 15, 2027, with early adoption permitted. Further, the amendments in ASU 2024-03 should be applied either prospectively or retrospectively. We are currently evaluating the impact on our consolidated financial statements and disclosures.</w:t>
      </w:r>
    </w:p>
    <w:p>
      <w:pPr>
        <w:pStyle w:val="TextBody"/>
        <w:bidi w:val="0"/>
        <w:spacing w:lineRule="auto" w:line="288" w:before="120" w:after="283"/>
        <w:ind w:left="0" w:right="0" w:firstLine="540"/>
        <w:jc w:val="both"/>
        <w:rPr/>
      </w:pPr>
      <w:r>
        <w:rPr>
          <w:rFonts w:ascii="Times New Roman;serif" w:hAnsi="Times New Roman;serif"/>
          <w:b/>
          <w:i/>
          <w:color w:val="000000"/>
          <w:sz w:val="20"/>
        </w:rPr>
        <w:t>ASU No. 2025-06</w:t>
      </w:r>
      <w:r>
        <w:rPr>
          <w:color w:val="000000"/>
        </w:rPr>
        <w:t xml:space="preserve"> — </w:t>
      </w:r>
      <w:r>
        <w:rPr>
          <w:rFonts w:ascii="Times New Roman;serif" w:hAnsi="Times New Roman;serif"/>
          <w:b w:val="false"/>
          <w:color w:val="000000"/>
          <w:sz w:val="20"/>
        </w:rPr>
        <w:t>In September 2025, the FASB issued ASU No. 2025-06, Intangibles—Goodwill and Other—Internal-Use Software (Subtopic 350-40) ("ASU 2025-06"). ASU 2025-06 removes all references to prescriptive and sequential software development stages throughout Subtopic 350-40, and therefore requires an entity to start capitalizing software costs when management has authorized and committed to funding the software project, and it is probable that the project will be completed and the software will be used to perform the function intended. The amendments in ASU 2025-06 further specify and clarify disclosure requirements for property, plant and equipment and intangibles, as well as supersede the website development costs guidance and incorporate the recognition requirements for website-specific development costs. ASU 2025-06 is effective for annual reporting periods beginning after December 15, 2027 and interim reporting periods within those annual reporting periods, with early adoption permitted. Further, the amendments in ASU 2025-06 should be applied using a transition approach that is prospective, modified based on the project status and whether software costs were capitalized before the adoption date, or retrospective. We are currently evaluating the impact on our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Note 2. Independent Operator Notes and Independent Operator Receivables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amounts included in IO notes and IO receivables consist primarily of funds we loaned to IOs, net of estimated uncollectible amounts. IO notes, which are payable on demand and have no maturity date, typically bear interest at rates between 4.00% and 9.95%. Accrued interest receivable on IO notes is included within the "independent operator receivables and current portion of independent operator notes, net of allowance" line item on the condensed consolidated balance sheets and was $3.3 million and $3.9 million as of July 4, 2026 and January 3, 2026, respectively. There were no IO notes that were past due or on a non-accrual status due to delinquency as of July 4, 2026 or January 3, 2026. Notes and receivables from our IOs participating in our Temporary Commission Adjustment Program ("TCAP"), as detailed below, are not considered to be past due or on a non-accrual status due to delinquency and are excluded from such measures.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IO notes and IO receivables are financial assets which are measured and carried at amortized cost. An allowance for expected credit losses is deducted from (for expected losses) or added to (for expected recoveries) the amortized cost basis of these assets to arrive at the net carrying amount expected to be collected for such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allowance is estimated using an expected loss framework, which includes information about past events, current conditions, and reasonable and supportable forecasts that impact the collectibility of the reported amounts of the assets over their lifetime. The allowance is evaluated on a collective basis for assets with shared risk characteristics and credit quality indicators. The primary shared risk characteristic and credit quality indicator pools that we use as a basis for collective evaluation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TCAP — Includes the notes and receivables from IOs with stores that have been open for more than 18 months that are participating in our TCAP as of the end of each reporting period. TCAP allows us to provide a greater commission to participating IOs who require assistance in meeting their working capital needs for various reasons, such as new or increased competition or differences in IO skills and experience.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Non-TCAP </w:t>
      </w:r>
      <w:r>
        <w:rPr>
          <w:color w:val="000000"/>
        </w:rPr>
        <w:t xml:space="preserve">— </w:t>
      </w:r>
      <w:r>
        <w:rPr>
          <w:rFonts w:ascii="Times New Roman;serif" w:hAnsi="Times New Roman;serif"/>
          <w:b w:val="false"/>
          <w:color w:val="000000"/>
          <w:sz w:val="20"/>
        </w:rPr>
        <w:t>Includes the notes and receivables from IOs with stores that have been open for more than 18 months that are not participating in TCAP as of the end of each reporting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New store </w:t>
      </w:r>
      <w:r>
        <w:rPr>
          <w:color w:val="000000"/>
        </w:rPr>
        <w:t xml:space="preserve">— </w:t>
      </w:r>
      <w:r>
        <w:rPr>
          <w:rFonts w:ascii="Times New Roman;serif" w:hAnsi="Times New Roman;serif"/>
          <w:b w:val="false"/>
          <w:color w:val="000000"/>
          <w:sz w:val="20"/>
        </w:rPr>
        <w:t>Includes the notes and receivables from IOs with stores that have been open for less than 18 months as of the end of each reporting period, and may or may not be participating in TCAP.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Assets without such shared risk characteristics or credit quality indicators, such as assets with unique circumstances or with delinquencies and historical losses in excess of their TCAP, non-TCAP or new store peers are evaluated on an individual basis. In the first half of fiscal 2026, we increased our allowance for IO notes and IO receivables by $15.4 million to reflect estimated credit losses on amounts advanced to certain independent operators subject to the Operator Agreement Terminations in connection with the Optimization Plan, as discussed further in Note 12.</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Amounts due from IOs and the related allowances as of July 4, 2026 and January 3, 2026 consisted of the following (amounts in thousands)</w:t>
      </w:r>
      <w:r>
        <w:rPr>
          <w:rFonts w:ascii="Times New Roman;serif" w:hAnsi="Times New Roman;serif"/>
          <w:b w:val="false"/>
          <w:color w:val="000000"/>
          <w:sz w:val="22"/>
        </w:rPr>
        <w:t>:</w:t>
      </w:r>
    </w:p>
    <w:tbl>
      <w:tblPr>
        <w:tblW w:w="10205" w:type="dxa"/>
        <w:jc w:val="left"/>
        <w:tblInd w:w="0" w:type="dxa"/>
        <w:tblLayout w:type="fixed"/>
        <w:tblCellMar>
          <w:top w:w="28" w:type="dxa"/>
          <w:left w:w="28" w:type="dxa"/>
          <w:bottom w:w="28" w:type="dxa"/>
          <w:right w:w="28" w:type="dxa"/>
        </w:tblCellMar>
      </w:tblPr>
      <w:tblGrid>
        <w:gridCol w:w="636"/>
        <w:gridCol w:w="561"/>
        <w:gridCol w:w="555"/>
        <w:gridCol w:w="211"/>
        <w:gridCol w:w="721"/>
        <w:gridCol w:w="109"/>
        <w:gridCol w:w="109"/>
        <w:gridCol w:w="109"/>
        <w:gridCol w:w="109"/>
        <w:gridCol w:w="223"/>
        <w:gridCol w:w="803"/>
        <w:gridCol w:w="115"/>
        <w:gridCol w:w="109"/>
        <w:gridCol w:w="109"/>
        <w:gridCol w:w="109"/>
        <w:gridCol w:w="236"/>
        <w:gridCol w:w="853"/>
        <w:gridCol w:w="122"/>
        <w:gridCol w:w="109"/>
        <w:gridCol w:w="109"/>
        <w:gridCol w:w="109"/>
        <w:gridCol w:w="211"/>
        <w:gridCol w:w="721"/>
        <w:gridCol w:w="109"/>
        <w:gridCol w:w="109"/>
        <w:gridCol w:w="109"/>
        <w:gridCol w:w="109"/>
        <w:gridCol w:w="229"/>
        <w:gridCol w:w="784"/>
        <w:gridCol w:w="118"/>
        <w:gridCol w:w="109"/>
        <w:gridCol w:w="109"/>
        <w:gridCol w:w="109"/>
        <w:gridCol w:w="242"/>
        <w:gridCol w:w="828"/>
        <w:gridCol w:w="183"/>
      </w:tblGrid>
      <w:tr>
        <w:trPr/>
        <w:tc>
          <w:tcPr>
            <w:tcW w:w="6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Portion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Portion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Portion</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July 4, 2026</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operator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operator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(15,761)</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(15,216)</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14,101 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37,231 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16"/>
        <w:gridCol w:w="537"/>
        <w:gridCol w:w="500"/>
        <w:gridCol w:w="211"/>
        <w:gridCol w:w="721"/>
        <w:gridCol w:w="109"/>
        <w:gridCol w:w="109"/>
        <w:gridCol w:w="109"/>
        <w:gridCol w:w="109"/>
        <w:gridCol w:w="223"/>
        <w:gridCol w:w="803"/>
        <w:gridCol w:w="115"/>
        <w:gridCol w:w="109"/>
        <w:gridCol w:w="109"/>
        <w:gridCol w:w="109"/>
        <w:gridCol w:w="236"/>
        <w:gridCol w:w="853"/>
        <w:gridCol w:w="122"/>
        <w:gridCol w:w="109"/>
        <w:gridCol w:w="109"/>
        <w:gridCol w:w="109"/>
        <w:gridCol w:w="211"/>
        <w:gridCol w:w="721"/>
        <w:gridCol w:w="109"/>
        <w:gridCol w:w="109"/>
        <w:gridCol w:w="109"/>
        <w:gridCol w:w="109"/>
        <w:gridCol w:w="229"/>
        <w:gridCol w:w="784"/>
        <w:gridCol w:w="118"/>
        <w:gridCol w:w="109"/>
        <w:gridCol w:w="109"/>
        <w:gridCol w:w="109"/>
        <w:gridCol w:w="242"/>
        <w:gridCol w:w="828"/>
        <w:gridCol w:w="182"/>
      </w:tblGrid>
      <w:tr>
        <w:trPr/>
        <w:tc>
          <w:tcPr>
            <w:tcW w:w="71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Portion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Portion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Portion</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January 3, 2026</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operator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operator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(12,253)</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(15,291)</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16,983 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43,748 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summary of activity in the IO notes and IO receivables allowance was as follows (amounts in thousands):</w:t>
      </w:r>
    </w:p>
    <w:tbl>
      <w:tblPr>
        <w:tblW w:w="9854" w:type="dxa"/>
        <w:jc w:val="left"/>
        <w:tblInd w:w="0" w:type="dxa"/>
        <w:tblLayout w:type="fixed"/>
        <w:tblCellMar>
          <w:top w:w="28" w:type="dxa"/>
          <w:left w:w="28" w:type="dxa"/>
          <w:bottom w:w="28" w:type="dxa"/>
          <w:right w:w="28" w:type="dxa"/>
        </w:tblCellMar>
      </w:tblPr>
      <w:tblGrid>
        <w:gridCol w:w="1690"/>
        <w:gridCol w:w="1483"/>
        <w:gridCol w:w="149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9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Provision for IO notes and IO receivables reserves </w:t>
            </w:r>
            <w:r>
              <w:rPr>
                <w:rFonts w:ascii="Times New Roman;serif" w:hAnsi="Times New Roman;serif"/>
                <w:b w:val="false"/>
                <w:color w:val="000000"/>
                <w:sz w:val="16"/>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Write-off of uncollectible IO notes and IO receivables </w:t>
            </w:r>
            <w:r>
              <w:rPr>
                <w:rFonts w:ascii="Times New Roman;serif" w:hAnsi="Times New Roman;serif"/>
                <w:b w:val="false"/>
                <w:color w:val="000000"/>
                <w:sz w:val="16"/>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    For the second quarter and first half of fiscal 2026, includes $(0.1) million and $15.4 million, respectively, related to certain Operator Agreement Terminations under the Optimization Plan, as defined in Note 12.</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    For the second quarter and first half of fiscal 2026, includes $3.6 million and $11.7 million, respectively, related to certain Operator Agreement Terminations under the Optimization Plan, as defined in Note 12.</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outstanding gross balance of IO notes by fiscal year of origination and credit quality indicator as of July 4, 2026 and January 3, 2026 (amounts in thousands):</w:t>
      </w:r>
    </w:p>
    <w:tbl>
      <w:tblPr>
        <w:tblW w:w="10205" w:type="dxa"/>
        <w:jc w:val="left"/>
        <w:tblInd w:w="0" w:type="dxa"/>
        <w:tblLayout w:type="fixed"/>
        <w:tblCellMar>
          <w:top w:w="28" w:type="dxa"/>
          <w:left w:w="28" w:type="dxa"/>
          <w:bottom w:w="28" w:type="dxa"/>
          <w:right w:w="28" w:type="dxa"/>
        </w:tblCellMar>
      </w:tblPr>
      <w:tblGrid>
        <w:gridCol w:w="592"/>
        <w:gridCol w:w="411"/>
        <w:gridCol w:w="414"/>
        <w:gridCol w:w="215"/>
        <w:gridCol w:w="627"/>
        <w:gridCol w:w="110"/>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7"/>
      </w:tblGrid>
      <w:tr>
        <w:trPr/>
        <w:tc>
          <w:tcPr>
            <w:tcW w:w="5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of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Quality Indicator</w:t>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(YTD)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July 4, 2026</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TCAP</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Non-TCAP</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store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51,016 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74"/>
        <w:gridCol w:w="376"/>
        <w:gridCol w:w="37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6"/>
      </w:tblGrid>
      <w:tr>
        <w:trPr/>
        <w:tc>
          <w:tcPr>
            <w:tcW w:w="5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of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Quality Indicator</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January 3, 2026</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TCAP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Non-TCAP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store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57,532 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TCAP IO Notes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Notes of IOs participating in our TCAP represented 44.7% and 50.6% of total IO note balances as of July 4, 2026 and January 3, 2026,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total of $1.1 million of IO notes were added into our TCAP during the second quarter of fiscal 2026. The weighted-average contractual interest rate of these IO notes was 4.00% as of July 4, 2026, a reduction from the standard rate of 9.95%. In addition, $0.1 million of IO notes were transferred from TCAP to Non-TCAP during the second quarter of fiscal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total of $3.3 million of IO notes were added into our TCAP during the first half of fiscal 2026. The weighted-average contractual interest rate of these IO notes was 4.00% as of July 4, 2026, a reduction from the standard rate of 9.95%. In addition, $0.3 million of IO notes were transferred from TCAP to Non-TCAP during the first half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Goodwill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 in the net goodwill balance for the period presented (amounts in thousands):</w:t>
      </w:r>
    </w:p>
    <w:tbl>
      <w:tblPr>
        <w:tblW w:w="9006" w:type="dxa"/>
        <w:jc w:val="left"/>
        <w:tblInd w:w="0" w:type="dxa"/>
        <w:tblLayout w:type="fixed"/>
        <w:tblCellMar>
          <w:top w:w="28" w:type="dxa"/>
          <w:left w:w="28" w:type="dxa"/>
          <w:bottom w:w="28" w:type="dxa"/>
          <w:right w:w="28" w:type="dxa"/>
        </w:tblCellMar>
      </w:tblPr>
      <w:tblGrid>
        <w:gridCol w:w="884"/>
        <w:gridCol w:w="779"/>
        <w:gridCol w:w="782"/>
        <w:gridCol w:w="109"/>
        <w:gridCol w:w="109"/>
        <w:gridCol w:w="109"/>
        <w:gridCol w:w="345"/>
        <w:gridCol w:w="1352"/>
        <w:gridCol w:w="178"/>
        <w:gridCol w:w="109"/>
        <w:gridCol w:w="109"/>
        <w:gridCol w:w="109"/>
        <w:gridCol w:w="337"/>
        <w:gridCol w:w="1439"/>
        <w:gridCol w:w="174"/>
        <w:gridCol w:w="109"/>
        <w:gridCol w:w="109"/>
        <w:gridCol w:w="109"/>
        <w:gridCol w:w="311"/>
        <w:gridCol w:w="1217"/>
        <w:gridCol w:w="227"/>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782,835 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(149,000)</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633,835 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July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782,835 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(307,000)</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475,835 </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Goodwill is subject to an annual impairment evaluation which is performed during our fourth quarter or when events or changes in circumstances indicate that the value of goodwill may be impaired.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2026, we determined that a triggering event had occurred as a result of a decline in our stock price, necessitating an interim goodwill impairment evaluation. We performed a quantitative assessment as of April 4, 2026, and concluded that the carrying amount of goodwill exceeded its estimated fair value. Accordingly, we recognized a goodwill impairment charge of $158.0 million in the first quarter of fiscal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quantitative impairment assessment, we used a combination of an income approach and a market approach, which were equally weighted, to determine the estimated fair value of the reporting unit. For the income approach, a discounted cash flow model was used that required forecasts of cash flows, assumptions such as revenue growth rates and gross profit margins, among others, and an estimate of weighted-average cost of capital that we believe approximates the assumptions from a market participant’s perspective. For the market approach, a guideline public company model was used, which required judgment in estimating key assumptions including the selection of guideline companies and multiples of sales revenue and EBITDA. These estimates incorporated many uncertain factors which could be impacted by changes in market conditions, interest rates, growth rates, tax rates, costs, customer behavior, regulatory environment and other macroeconomic changes. In addition, we considered the reasonableness of the fair value of the reporting unit by assessing the implied enterprise value control premium based on our market capitalization. We determined that the implied control premium was reasonable which corroborates our fair value estimates. We categorized the fair value determination as Level 3 in the fair value hierarchy due to our use of internal projections and unobservable measurement inputs.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Assumptions used in impairment testing are made at a point in time and require significant judgment; therefore, they are subject to change based on the facts and circumstances present at each impairment test date. Additionally, these assumptions are generally interdependent and do not change in isolation.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 goodwill impairment charge was recorded in the second quarter of fiscal 2026, and no goodwill impairment charge was recorded in the first half of fiscal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Long-term Debt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(amounts in thousands):</w:t>
      </w:r>
    </w:p>
    <w:tbl>
      <w:tblPr>
        <w:tblW w:w="7088" w:type="dxa"/>
        <w:jc w:val="left"/>
        <w:tblInd w:w="0" w:type="dxa"/>
        <w:tblLayout w:type="fixed"/>
        <w:tblCellMar>
          <w:top w:w="28" w:type="dxa"/>
          <w:left w:w="28" w:type="dxa"/>
          <w:bottom w:w="28" w:type="dxa"/>
          <w:right w:w="28" w:type="dxa"/>
        </w:tblCellMar>
      </w:tblPr>
      <w:tblGrid>
        <w:gridCol w:w="1601"/>
        <w:gridCol w:w="1406"/>
        <w:gridCol w:w="1417"/>
        <w:gridCol w:w="211"/>
        <w:gridCol w:w="826"/>
        <w:gridCol w:w="109"/>
        <w:gridCol w:w="109"/>
        <w:gridCol w:w="109"/>
        <w:gridCol w:w="109"/>
        <w:gridCol w:w="211"/>
        <w:gridCol w:w="826"/>
        <w:gridCol w:w="154"/>
      </w:tblGrid>
      <w:tr>
        <w:trPr/>
        <w:tc>
          <w:tcPr>
            <w:tcW w:w="160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w:t>
              <w:br/>
              <w:t>2026</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Credit Agreement: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term loan due 2028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gross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493,750 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unamortized debt issuance costs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492,905 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477,905 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2023 Credit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party to a credit agreement, dated February 21, 2023 (the "2023 Credit Agreement"), with Bank of America, N.A., as administrative agent and collateral agent, and a syndicate of lenders that consists of (i) a senior secured term loan facility (the "senior term loan") and (ii) a senior secured revolving credit facility (the "revolving credit facility" and, together with the senior term loan, the "credit facilities") in an aggregate principal amount of $400.0 million. The revolving credit facility includes sub-commitments for $50.0 million letters of credit and $25.0 million of swingline loans.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July 4, 2026, interest on borrowings under the credit facilities was based on one-month Term SOFR with an applicable margin of 2.25%. Borrowings under the 2023 Credit Agreement bear interest at a rate equal to, at our option, either (a) the base rate, which is defined as a fluctuating rate per annum equal to the greatest of (i) the federal funds rate then in effect, plus 0.50%, (ii) the prime rate then in effect and (iii) a specified Term SOFR (as defined in the 2023 Credit Agreement) rate plus 1.00%, subject to the interest rate floors set forth therein, plus an applicable margin ranging from 0.75% to 1.75% based on our Total Net Leverage Ratio (as defined in the 2023 Credit Agreement); and (b) an adjusted Term SOFR rate determined on the basis of a one, three or six month interest period, plus 0.10%, subject to the interest rate floors set forth therein, plus an applicable margin ranging from 1.75% to 2.75% based on our Total Net Leverage Ratio.</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2023 Credit Agreement permits us to add incremental term loan facilities, increase any existing term loan facility, increase revolving commitments, and/or add incremental replacement revolving credit facility tranches. The aggregate principal amount of such incremental facilities are limited to (a) an amount not in excess of the sum of the greater of $200.0 million and 100% of Consolidated EBITDA (as defined in the 2023 Credit Agreement), subject to certain limitations, plus (b) voluntary prepayments of any term loan facility, voluntary permanent reductions of the commitments for the revolving credit facility and voluntary prepayments of indebtedness secured by liens on the collateral securing the credit facilities, subject to certain exceptions, plus (c) an amount such that (assuming that the full amount of any such incremental revolving increase and/or incremental replacement revolving credit facility was drawn, and after giving effect to any appropriate pro forma adjustment events) we would be in compliance, on a pro forma basis (but excluding the cash proceeds of such incurrence), with a Total Net Leverage Ratio of 3.00 to 1.00.</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obligations under the 2023 Credit Agreement are unconditionally guaranteed by Grocery Outlet Holding Corp.'s direct and indirect wholly owned restricted subsidiaries, subject to certain exceptions. All obligations under the 2023 Credit Agreement, and the guarantee of such obligations, are secured, subject to permitted liens and other exceptions, by substantially all of the Company’s assets and those of each subsidiary guarantor.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2023 Credit Agreement requires us to make scheduled quarterly amortization payments on the senior term loan, which were $1.875 million from June 2023 through March 2025, and are $3.75 million from June 2025 through December 2027, with the remaining balance due on February 21, 2028. We may voluntarily prepay the credit facilities, in whole or in part, at any time without premium or penalty, subject to reimbursement of the lenders’ breakage and redeployment costs in applicable cases.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senior term loan and the revolving credit facility under the 2023 Credit Agreement mature on February 21,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Senior Term Loan due 2028</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senior term loan under the 2023 Credit Agreement had an interest rate of 5.99% as of July 4, 2026.</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aggregate outstanding principal balance under the revolving credit facility was $240.0 million and $220.0 million as of July 4, 2026 and January 3, 2026, respectively. As of July 4, 2026, we had $6.2 million of outstanding letters of credit and $153.8 million of remaining borrowing capacity available under the revolving credit facility. Borrowings under the revolving credit facility had an interest rate of 5.99% as of July 4,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required to pay a quarterly commitment fee ranging from 0.15% to 0.30% on the daily unused amount of the commitment under the revolving credit facility based upon our Total Net Leverage Ratio. The unused commitment fee rate was 0.20% as of July 4, 2026. We are also required to pay fronting fees and other customary fees for letters of credit issued under the revolving credit facility.</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Debt Covenants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2023 Credit Agreement contains certain customary representations and warranties, subject to limitations and exceptions, and affirmative and customary covenants. The 2023 Credit Agreement contains certain covenants that, among other things, limit our ability and the ability of our restricted subsidiaries to: pay dividends or distributions, repurchase equity, prepay junior debt and make certain investments; incur additional debt or issue certain disqualified stock and preferred stock; incur liens on assets; merge or consolidate with another company or sell, assign, transfer, lease, convey or otherwise dispose of all or substantially all of its assets; enter into transactions with affiliates; and allow to exist certain restrictions on the ability of our subsidiaries to pay dividends or make other payments to the borrower. The 2023 Credit Agreement also contains financial performance covenants requiring us to satisfy a maximum total net leverage ratio test and a minimum interest coverage ratio test as of the last day of each fiscal quarter. The maximum total net leverage ratio test requires us to be in compliance with a Total Net Leverage Ratio no greater than 3.25 to 1.00 as of the last day of each test period ending after December 31, 2025, subject to certain adjustments set forth in the 2023 Credit Agreement. The minimum interest coverage ratio test requires us to be in compliance with a Consolidated Interest Coverage Ratio (as defined in the 2023 Credit Agreement) of no less than 1.75 to 1.00 as of the last day of each test period.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July 4, 2026, we were in compliance with all applicable financial covenant requirements for the 2023 Credit Agreement.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Schedule of Principal Maturities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Principal maturities of debt as of July 4, 2026 are as follows (amounts in thousands):</w:t>
      </w:r>
    </w:p>
    <w:tbl>
      <w:tblPr>
        <w:tblW w:w="3410" w:type="dxa"/>
        <w:jc w:val="left"/>
        <w:tblInd w:w="0" w:type="dxa"/>
        <w:tblLayout w:type="fixed"/>
        <w:tblCellMar>
          <w:top w:w="28" w:type="dxa"/>
          <w:left w:w="28" w:type="dxa"/>
          <w:bottom w:w="28" w:type="dxa"/>
          <w:right w:w="28" w:type="dxa"/>
        </w:tblCellMar>
      </w:tblPr>
      <w:tblGrid>
        <w:gridCol w:w="803"/>
        <w:gridCol w:w="706"/>
        <w:gridCol w:w="710"/>
        <w:gridCol w:w="211"/>
        <w:gridCol w:w="82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 and 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Interest expense, net, consisted of the following (amounts in thousands):</w:t>
      </w:r>
    </w:p>
    <w:tbl>
      <w:tblPr>
        <w:tblW w:w="9554" w:type="dxa"/>
        <w:jc w:val="left"/>
        <w:tblInd w:w="0" w:type="dxa"/>
        <w:tblLayout w:type="fixed"/>
        <w:tblCellMar>
          <w:top w:w="28" w:type="dxa"/>
          <w:left w:w="28" w:type="dxa"/>
          <w:bottom w:w="28" w:type="dxa"/>
          <w:right w:w="28" w:type="dxa"/>
        </w:tblCellMar>
      </w:tblPr>
      <w:tblGrid>
        <w:gridCol w:w="1657"/>
        <w:gridCol w:w="1452"/>
        <w:gridCol w:w="1465"/>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65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loans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debt discounts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Stockholders' Equity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fourth quarter of fiscal 2024, our Board of Directors (the "Board") approved a new share repurchase program (the "2024 Share Repurchase Program"). The 2024 Share Repurchase Program does not have an expiration date and authorizes us to repurchase up to $100.0 million of our outstanding common stock (inclusive of fees and commissions) utilizing a variety of methods including open-market purchases, accelerated equity repurchase programs, privately negotiated transactions, block trades and under a Rule 10b5-1 plan. Any repurchased shares are constructively retired and returned to an unissued status.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July 4, 2026, we had $100.0 million of repurchase authority remaining under the 2024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6. Share-based Awards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 discussion of our share-based incentive plans, refer to Note 8 to the consolidated financial statements in our 2025 Form 10-K.</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Share-based Award Activity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first half of fiscal 2026, we granted market-based restricted stock units ("MSUs"), which vest in a single installment following a three-year performance period subject to continued service and the achievement of specified stock price targets based on the Company's common stock during the final 30 consecutive trading days of the performance period. In addition, we granted time-based restricted stock units ("RSUs") during the first half of fiscal 2026 with vesting periods ranging from one to three years.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grant-date fair value of MSUs is estimated using a Monte Carlo simulation model. The significant assumptions used in the valuation model are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Expected term — Represents the period from the grant date to the end of the three-year performance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Expected volatility — Based on the historical volatility of our common stock over a period commensurate with the expected term of the award.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Risk-free interest rate — Based on the U.S. Treasury yield curve in effect at the grant date, with maturities approximating the expected term of the award.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Dividend yield — Assumed to be zero, as we have not historically paid, and do not expect to pay, cash dividends on our common stock.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grant date fair value of MSUs awarded during the first half of fiscal 2026 was estimated using the Monte Carlo valuation model with the following weighted-average assumptions:</w:t>
      </w:r>
    </w:p>
    <w:tbl>
      <w:tblPr>
        <w:tblW w:w="5019" w:type="dxa"/>
        <w:jc w:val="left"/>
        <w:tblInd w:w="0" w:type="dxa"/>
        <w:tblLayout w:type="fixed"/>
        <w:tblCellMar>
          <w:top w:w="28" w:type="dxa"/>
          <w:left w:w="28" w:type="dxa"/>
          <w:bottom w:w="28" w:type="dxa"/>
          <w:right w:w="28" w:type="dxa"/>
        </w:tblCellMar>
      </w:tblPr>
      <w:tblGrid>
        <w:gridCol w:w="1099"/>
        <w:gridCol w:w="964"/>
        <w:gridCol w:w="967"/>
        <w:gridCol w:w="274"/>
        <w:gridCol w:w="664"/>
        <w:gridCol w:w="352"/>
        <w:gridCol w:w="109"/>
        <w:gridCol w:w="109"/>
        <w:gridCol w:w="109"/>
        <w:gridCol w:w="109"/>
        <w:gridCol w:w="109"/>
        <w:gridCol w:w="154"/>
      </w:tblGrid>
      <w:tr>
        <w:trPr/>
        <w:tc>
          <w:tcPr>
            <w:tcW w:w="109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 date fair value (per share unit)</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under all equity incentive plans during the first half of fiscal 2026 (amounts in thousands, except option, per option and term data):</w:t>
      </w:r>
    </w:p>
    <w:tbl>
      <w:tblPr>
        <w:tblW w:w="10205" w:type="dxa"/>
        <w:jc w:val="left"/>
        <w:tblInd w:w="0" w:type="dxa"/>
        <w:tblLayout w:type="fixed"/>
        <w:tblCellMar>
          <w:top w:w="28" w:type="dxa"/>
          <w:left w:w="28" w:type="dxa"/>
          <w:bottom w:w="28" w:type="dxa"/>
          <w:right w:w="28" w:type="dxa"/>
        </w:tblCellMar>
      </w:tblPr>
      <w:tblGrid>
        <w:gridCol w:w="1307"/>
        <w:gridCol w:w="796"/>
        <w:gridCol w:w="800"/>
        <w:gridCol w:w="481"/>
        <w:gridCol w:w="335"/>
        <w:gridCol w:w="336"/>
        <w:gridCol w:w="109"/>
        <w:gridCol w:w="109"/>
        <w:gridCol w:w="109"/>
        <w:gridCol w:w="731"/>
        <w:gridCol w:w="377"/>
        <w:gridCol w:w="379"/>
        <w:gridCol w:w="109"/>
        <w:gridCol w:w="109"/>
        <w:gridCol w:w="109"/>
        <w:gridCol w:w="775"/>
        <w:gridCol w:w="775"/>
        <w:gridCol w:w="776"/>
        <w:gridCol w:w="109"/>
        <w:gridCol w:w="109"/>
        <w:gridCol w:w="109"/>
        <w:gridCol w:w="600"/>
        <w:gridCol w:w="309"/>
        <w:gridCol w:w="447"/>
      </w:tblGrid>
      <w:tr>
        <w:trPr/>
        <w:tc>
          <w:tcPr>
            <w:tcW w:w="13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2903"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4336" w:type="dxa"/>
            <w:gridSpan w:val="12"/>
            <w:tcBorders/>
          </w:tcPr>
          <w:p>
            <w:pPr>
              <w:pStyle w:val="TableContents"/>
              <w:bidi w:val="0"/>
              <w:spacing w:before="0" w:after="283"/>
              <w:jc w:val="left"/>
              <w:rPr>
                <w:sz w:val="4"/>
                <w:szCs w:val="4"/>
              </w:rPr>
            </w:pPr>
            <w:r>
              <w:rPr>
                <w:sz w:val="4"/>
                <w:szCs w:val="4"/>
              </w:rPr>
            </w:r>
          </w:p>
        </w:tc>
      </w:tr>
      <w:tr>
        <w:trPr/>
        <w:tc>
          <w:tcPr>
            <w:tcW w:w="2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Weighted-Average </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Time-Based Stock Options</w:t>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outstanding as of January 3, 2026</w:t>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1,716,759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outstanding as of July 4, 2026</w:t>
            </w:r>
          </w:p>
        </w:tc>
        <w:tc>
          <w:tcPr>
            <w:tcW w:w="11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as of July 4, 2026</w:t>
            </w:r>
          </w:p>
        </w:tc>
        <w:tc>
          <w:tcPr>
            <w:tcW w:w="115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exercisable as of July 4, 2026</w:t>
            </w:r>
          </w:p>
        </w:tc>
        <w:tc>
          <w:tcPr>
            <w:tcW w:w="115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Market-Based and Performance-Based Stock Options</w:t>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outstanding as of January 3, 2026</w:t>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outstanding as of July 4, 2026</w:t>
            </w:r>
          </w:p>
        </w:tc>
        <w:tc>
          <w:tcPr>
            <w:tcW w:w="11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as of July 4, 2026</w:t>
            </w:r>
          </w:p>
        </w:tc>
        <w:tc>
          <w:tcPr>
            <w:tcW w:w="115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exercisable as of July 4, 2026</w:t>
            </w:r>
          </w:p>
        </w:tc>
        <w:tc>
          <w:tcPr>
            <w:tcW w:w="1152"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 under all equity incentive plans during the first half of fiscal 2026:</w:t>
      </w:r>
    </w:p>
    <w:tbl>
      <w:tblPr>
        <w:tblW w:w="10205" w:type="dxa"/>
        <w:jc w:val="left"/>
        <w:tblInd w:w="0" w:type="dxa"/>
        <w:tblLayout w:type="fixed"/>
        <w:tblCellMar>
          <w:top w:w="28" w:type="dxa"/>
          <w:left w:w="28" w:type="dxa"/>
          <w:bottom w:w="28" w:type="dxa"/>
          <w:right w:w="28" w:type="dxa"/>
        </w:tblCellMar>
      </w:tblPr>
      <w:tblGrid>
        <w:gridCol w:w="1082"/>
        <w:gridCol w:w="953"/>
        <w:gridCol w:w="959"/>
        <w:gridCol w:w="488"/>
        <w:gridCol w:w="488"/>
        <w:gridCol w:w="438"/>
        <w:gridCol w:w="109"/>
        <w:gridCol w:w="109"/>
        <w:gridCol w:w="109"/>
        <w:gridCol w:w="388"/>
        <w:gridCol w:w="1138"/>
        <w:gridCol w:w="202"/>
        <w:gridCol w:w="109"/>
        <w:gridCol w:w="109"/>
        <w:gridCol w:w="109"/>
        <w:gridCol w:w="998"/>
        <w:gridCol w:w="998"/>
        <w:gridCol w:w="1419"/>
      </w:tblGrid>
      <w:tr>
        <w:trPr/>
        <w:tc>
          <w:tcPr>
            <w:tcW w:w="108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2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Weighted-Average </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Term</w:t>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as of January 3, 2026</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1,521,255 </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2,365,039 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(751,202)</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(334,085)</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as of July 4, 2026</w:t>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2,801,007 </w:t>
            </w:r>
          </w:p>
        </w:tc>
        <w:tc>
          <w:tcPr>
            <w:tcW w:w="4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RSUs that vested during the first half of fiscal 2026 had grant date fair values totaling $12.0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MSU and performance-based restricted stock unit ("PSU") activity under the Grocery Outlet Holding Corp. 2019 Incentive Plan during the first half of fiscal 2026:</w:t>
      </w:r>
    </w:p>
    <w:tbl>
      <w:tblPr>
        <w:tblW w:w="10205" w:type="dxa"/>
        <w:jc w:val="left"/>
        <w:tblInd w:w="0" w:type="dxa"/>
        <w:tblLayout w:type="fixed"/>
        <w:tblCellMar>
          <w:top w:w="28" w:type="dxa"/>
          <w:left w:w="28" w:type="dxa"/>
          <w:bottom w:w="28" w:type="dxa"/>
          <w:right w:w="28" w:type="dxa"/>
        </w:tblCellMar>
      </w:tblPr>
      <w:tblGrid>
        <w:gridCol w:w="1283"/>
        <w:gridCol w:w="1073"/>
        <w:gridCol w:w="1080"/>
        <w:gridCol w:w="554"/>
        <w:gridCol w:w="454"/>
        <w:gridCol w:w="396"/>
        <w:gridCol w:w="109"/>
        <w:gridCol w:w="109"/>
        <w:gridCol w:w="109"/>
        <w:gridCol w:w="377"/>
        <w:gridCol w:w="1104"/>
        <w:gridCol w:w="196"/>
        <w:gridCol w:w="109"/>
        <w:gridCol w:w="109"/>
        <w:gridCol w:w="109"/>
        <w:gridCol w:w="887"/>
        <w:gridCol w:w="887"/>
        <w:gridCol w:w="1260"/>
      </w:tblGrid>
      <w:tr>
        <w:trPr/>
        <w:tc>
          <w:tcPr>
            <w:tcW w:w="128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r>
      <w:tr>
        <w:trPr/>
        <w:tc>
          <w:tcPr>
            <w:tcW w:w="3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Weighted-Average </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Term</w:t>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as of January 3, 2026</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151,400 </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1,499,213 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 for expected performance achievement </w:t>
            </w:r>
            <w:r>
              <w:rPr>
                <w:rFonts w:ascii="Times New Roman;serif" w:hAnsi="Times New Roman;serif"/>
                <w:b w:val="false"/>
                <w:color w:val="000000"/>
                <w:sz w:val="16"/>
              </w:rPr>
              <w:t>(1)</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(184,505)</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Unvested balance as of July 4, 2026 </w:t>
            </w:r>
            <w:r>
              <w:rPr>
                <w:rFonts w:ascii="Times New Roman;serif" w:hAnsi="Times New Roman;serif"/>
                <w:b w:val="false"/>
                <w:color w:val="000000"/>
                <w:sz w:val="16"/>
              </w:rPr>
              <w:t>(2)</w:t>
            </w:r>
          </w:p>
        </w:tc>
        <w:tc>
          <w:tcPr>
            <w:tcW w:w="100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1,315,084 </w:t>
            </w:r>
          </w:p>
        </w:tc>
        <w:tc>
          <w:tcPr>
            <w:tcW w:w="3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bl>
    <w:p>
      <w:pPr>
        <w:pStyle w:val="TextBody"/>
        <w:bidi w:val="0"/>
        <w:spacing w:lineRule="auto" w:line="288" w:before="4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(1)Represents the year-to-date adjustment to previously granted awards based on performance expectations as of July 4, 2026.</w:t>
      </w:r>
    </w:p>
    <w:p>
      <w:pPr>
        <w:pStyle w:val="TextBody"/>
        <w:bidi w:val="0"/>
        <w:spacing w:lineRule="auto" w:line="288" w:before="60" w:after="283"/>
        <w:ind w:left="0" w:right="0" w:hanging="540"/>
        <w:jc w:val="left"/>
        <w:rPr/>
      </w:pPr>
      <w:r>
        <w:rPr>
          <w:rFonts w:ascii="Times New Roman;serif" w:hAnsi="Times New Roman;serif"/>
          <w:b w:val="false"/>
          <w:color w:val="000000"/>
          <w:sz w:val="18"/>
        </w:rPr>
        <w:t xml:space="preserve">(2)Up to an additional </w:t>
      </w:r>
      <w:r>
        <w:rPr>
          <w:rFonts w:ascii="Times New Roman;serif" w:hAnsi="Times New Roman;serif"/>
          <w:b w:val="false"/>
          <w:color w:val="000000"/>
          <w:sz w:val="20"/>
        </w:rPr>
        <w:t>3,158,889</w:t>
      </w:r>
      <w:r>
        <w:rPr>
          <w:color w:val="000000"/>
        </w:rPr>
        <w:t xml:space="preserve"> </w:t>
      </w:r>
      <w:r>
        <w:rPr>
          <w:rFonts w:ascii="Times New Roman;serif" w:hAnsi="Times New Roman;serif"/>
          <w:b w:val="false"/>
          <w:color w:val="000000"/>
          <w:sz w:val="18"/>
        </w:rPr>
        <w:t>MSUs and PSUs could potentially be included if the actual performance level achieved exceeds the current expected performance level (with 200% being the maximum performance level achievement).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PSUs vested during the first half of fiscal 2026 had grant date fair values totaling $4.1 million. No MSUs vested during the first half of fiscal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recognize compensation expense for share-based awards by amortizing the grant date fair value on a straight-line basis over the expected vesting period to the extent we determine the achievement of the grant's service and/or performance vesting requirements is probable. We recognize share-based award forfeitures in the period such forfeitures occur.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Share-based compensation expense consisted of the following (amounts in thousands):</w:t>
      </w:r>
    </w:p>
    <w:tbl>
      <w:tblPr>
        <w:tblW w:w="8445" w:type="dxa"/>
        <w:jc w:val="left"/>
        <w:tblInd w:w="0" w:type="dxa"/>
        <w:tblLayout w:type="fixed"/>
        <w:tblCellMar>
          <w:top w:w="28" w:type="dxa"/>
          <w:left w:w="28" w:type="dxa"/>
          <w:bottom w:w="28" w:type="dxa"/>
          <w:right w:w="28" w:type="dxa"/>
        </w:tblCellMar>
      </w:tblPr>
      <w:tblGrid>
        <w:gridCol w:w="1331"/>
        <w:gridCol w:w="1169"/>
        <w:gridCol w:w="117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Time-based and market-based stock options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MSUs and PSUs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income tax expense (benefit) and effective income tax rate were as follows (amounts in thousands, except percentages):</w:t>
      </w:r>
    </w:p>
    <w:tbl>
      <w:tblPr>
        <w:tblW w:w="7877" w:type="dxa"/>
        <w:jc w:val="left"/>
        <w:tblInd w:w="0" w:type="dxa"/>
        <w:tblLayout w:type="fixed"/>
        <w:tblCellMar>
          <w:top w:w="28" w:type="dxa"/>
          <w:left w:w="28" w:type="dxa"/>
          <w:bottom w:w="28" w:type="dxa"/>
          <w:right w:w="28" w:type="dxa"/>
        </w:tblCellMar>
      </w:tblPr>
      <w:tblGrid>
        <w:gridCol w:w="891"/>
        <w:gridCol w:w="781"/>
        <w:gridCol w:w="787"/>
        <w:gridCol w:w="211"/>
        <w:gridCol w:w="616"/>
        <w:gridCol w:w="271"/>
        <w:gridCol w:w="109"/>
        <w:gridCol w:w="109"/>
        <w:gridCol w:w="109"/>
        <w:gridCol w:w="211"/>
        <w:gridCol w:w="616"/>
        <w:gridCol w:w="271"/>
        <w:gridCol w:w="109"/>
        <w:gridCol w:w="109"/>
        <w:gridCol w:w="109"/>
        <w:gridCol w:w="211"/>
        <w:gridCol w:w="541"/>
        <w:gridCol w:w="271"/>
        <w:gridCol w:w="109"/>
        <w:gridCol w:w="109"/>
        <w:gridCol w:w="109"/>
        <w:gridCol w:w="211"/>
        <w:gridCol w:w="691"/>
        <w:gridCol w:w="316"/>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tax provision for interim periods was historically determined using an estimated annual effective tax rate ("estimated AETR"), adjusted for discrete events arising in each respective fiscal quarter. When forecasted ordinary annual pre</w:t>
        <w:noBreakHyphen/>
        <w:t>tax income is near breakeven, small changes in estimated annual results may result in significant volatility in the annual effective income tax rate that is not considered reliable and meaningful. In such circumstances, the income tax effects are recognized discretely in the interim period ("discrete ETR"). During the second quarter and first half of fiscal 2026, we utilized the discrete ETR method to compute our income tax provision as the estimated AETR method would not provide a reliable and meaningful estimate of our tax provision.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effective income tax rate for the second quarter of fiscal 2026 was higher than the combined U.S. federal and state statutory income tax rates primarily due to shortfalls from share-based compensation and deduction limitations under Section 162(m) of the Internal Revenue Code. Our effective income tax rate for the first half of fiscal 2026 was lower than the combined U.S. federal and state statutory income tax rates primarily due to non-deductible goodwill impairment.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 in our effective income tax rate for the second quarter of fiscal 2026 compared to the second quarter of fiscal 2025 was primarily attributable to changes in our levels of earnings. The change in our effective income tax rate for the first half of fiscal 2026 compared to the first half of fiscal 2025 was primarily attributable to non-deductible goodwill impairment recognized during the first half of fiscal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policy is to recognize interest and penalties associated with uncertain tax positions as part of the income tax provision in our condensed consolidated statements of operations and comprehensive income (loss) and include accrued interest and penalties with the related income tax liability on our condensed consolidated balance sheets. To date, we have not recognized any interest and penalties, nor have we accrued for or made payments for interest and penalties. We had no uncertain tax positions as of July 4, 2026 and January 3,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8. Related Party Transactions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Related Party Leases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As of July 4, 2026, January 3, 2026 and June 28, 2025, we leased 14 store locations and one wareho</w:t>
      </w:r>
      <w:r>
        <w:rPr>
          <w:rFonts w:ascii="Times New Roman;serif" w:hAnsi="Times New Roman;serif"/>
          <w:b w:val="false"/>
          <w:color w:val="000000"/>
          <w:sz w:val="20"/>
          <w:shd w:fill="FFFFFF" w:val="clear"/>
        </w:rPr>
        <w:t>u</w:t>
      </w:r>
      <w:r>
        <w:rPr>
          <w:rFonts w:ascii="Times New Roman;serif" w:hAnsi="Times New Roman;serif"/>
          <w:b w:val="false"/>
          <w:color w:val="000000"/>
          <w:sz w:val="20"/>
        </w:rPr>
        <w:t>se location from entities in which Eric Lindberg, Jr., Chairman of the Board and former Chief Executive Officer (who also served as Interim President and Chief Executive Officer for a portion of fiscal 2024 and the first quarter of fiscal 2025), his family, or an executive officer of the Company, had a direct or indirect financial interest. As of July 4, 2026, the right-of-use assets and lease liabilities related to these pro</w:t>
      </w:r>
      <w:r>
        <w:rPr>
          <w:rFonts w:ascii="Times New Roman;serif" w:hAnsi="Times New Roman;serif"/>
          <w:b w:val="false"/>
          <w:color w:val="000000"/>
          <w:sz w:val="20"/>
          <w:shd w:fill="FFFFFF" w:val="clear"/>
        </w:rPr>
        <w:t>pertie</w:t>
      </w:r>
      <w:r>
        <w:rPr>
          <w:rFonts w:ascii="Times New Roman;serif" w:hAnsi="Times New Roman;serif"/>
          <w:b w:val="false"/>
          <w:color w:val="000000"/>
          <w:sz w:val="20"/>
        </w:rPr>
        <w:t>s were $43.8 million and $49.0 million, respectively. As of January 3, 2026, the right-of-use assets and lease liabilities related to these properties were $44.7 million and $49.8 million, respectively. These related parties received aggregate lease payments from us of $1.9 million and $1.9 million for the second quarter of fiscal 2026 and fiscal 2025, respectively, and $3.8 million and $3.8 million for the first half of fiscal 2026 and fiscal 2025,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Independent Operator Notes and Independent Operator Receivables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offer interest-bearing notes to IOs and the gross amount of IO operating notes and IO receivables due was $82.3 million and $88.3 million as of July 4, 2026 and January 3, 2026, respectively. See Note 2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Note 9. Commitments and Contingencies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a party to legal proceedings that arise in the ordinary course of business, some of which may be covered by insurance. We establish an accrual for legal proceedings if and when those matters reach a stage where they present loss contingencies that are both probable and reasonably estimable. We monitor those matters for developments that would affect the likelihood of a loss and the accrued amount, if any, thereof, and adjust the amount as appropriate. If the loss contingency at issue is not both probable and reasonably estimable, we do not establish an accrual, but will continue to monitor the matter for developments that could make the loss contingency both probable and reasonably estimable. If there is at least a reasonable possibility that a material loss will occur, we will provide disclosure regarding the contingency.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Assessments of legal proceedings can involve a series of complex judgments about future events and can rely heavily on many different estimates and assumptions. The categories of legal proceedings in which we are involved may include multiple lawsuits and claims, may be spread across multiple jurisdictions and courts which may handle the lawsuits and claims differently, may involve numerous and different types of plaintiffs, and raise claims and damages based on specific allegations that may not apply to other matters. These and other factors contribute to the complexity of these legal proceedings and make it difficult for us to predict outcomes and make reasonable estimates of any resulting losses or ranges of possible losses, which is further complicated by the fact that a resolution of one or more matters may impact the resolution of other matters in terms of timing, amount of liability, or both. Unfavorable rulings, developments, or settlements could result in charges substantially in excess of amounts currently accrued, including for matters for which no accruals are currently recorded because losses are not currently probable or reasonably estimable.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our assessment of the facts and circumstances, we do not currently believe our legal proceedings, individually or in the aggregate, will have a material adverse effect on our results of operations, financial condition or cash flows. However, actual outcomes may differ from those expected and the matters disclosed below could have a material effect on our financial position, results of operations or cash flows in a future period.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30 and March 28, 2025, respectively, two federal securities class action lawsuits were filed in the U.S. District Court in the Northern District of California against Grocery Outlet Holding Corp. and certain of its former officers purportedly on behalf of purchasers of our common stock, which were later consolidated into one lawsuit (the "2025 Class Action"). The 2025 Class Action alleges that the defendants violated federal securities laws by making materially false and misleading statements and/or failing to disclose material adverse facts regarding our transition to new and upgraded internal systems. The 2025 Class Action seeks remedies under the Securities Exchange Act of 1934, as amended (the "Exchange Act"), including an undisclosed amount of monetary damages, interest, fees and other costs. The lead plaintiff filed an amended complaint on August 19, 2025, and the Company filed its motion to dismiss on October 21, 2025. Briefing on the Company’s motion to dismiss was completed on January 30, 2026. The hearing on the Company’s motion to dismiss scheduled for March 19, 2026 was vacated and the matter is now submitted on the briefs.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28 and May 2, 2025, respectively, two federal stockholder derivative lawsuits were filed in the U.S. District Court in the Northern District of California against certain of the Company’s current and former directors and officers purportedly on behalf of the Company, which were later consolidated into one lawsuit (the "2025 Derivative Lawsuit"). The 2025 Derivative Lawsuit alleges claims for breach of fiduciary duty, unjust enrichment, abuse of control, gross mismanagement, waste of corporate assets and for violations of Sections 10(b), 14(a), and 20(a) of the Exchange Act, based on similar allegations to those at issue in the 2025 Class Action. The 2025 Derivative Lawsuit seeks, among other relief, undisclosed damages, restitution, fees and other costs, and the institution of corporate governance reforms. On July 29, 2025, the court stayed the 2025 Derivative Lawsuit pending resolution of the Company's motion to dismiss the 2025 Class Action.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20 and March 26, 2026, two additional stockholder derivative lawsuits were filed in the Delaware Court of Chancery and U.S. District Court for the District of Delaware, respectively, against certain of the Company’s current and former directors and officers purportedly on behalf of the Company, asserting claims for breach of fiduciary duty and related claims based on substantially the same allegations as the 2025 Class Action and the 2025 Derivative Lawsuit. On April 17, 2026, the U.S. District Court action was dismissed without prejudice. On June 6, 2026, the court stayed the Delaware Court of Chancery action pending resolution of the Company's motion to dismiss the 2025 Class Action.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16, 2026, a separate federal securities class action lawsuit was filed in the U.S. District Court in the Northern District of California against the Company and certain of its current and former officers purportedly on behalf of purchasers of our common stock (the "2026 Class Action"). The 2026 Class Action alleges that the defendants violated federal securities laws by making materially false and misleading statements and/or failing to disclose material adverse facts regarding the Company’s growth strategy, financial performance, and the effectiveness of its restructuring plan, and seeks remedies under the Exchange Act, including an undisclosed amount of monetary damages, interest, fees and other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13 and May 15, 2026, respectively, two federal stockholder derivative lawsuits were filed in the U.S. District Court in the Northern District of California against certain of the Company’s current and former directors and officers purportedly on behalf of the Company, which were later consolidated into one lawsuit (the "2026 Derivative Lawsuit"). The 2026 Derivative Lawsuit asserts claims for breach of fiduciary duty and related claims based on similar allegations to those at issue in the 2026 Class Action. On June 26, 2026, the court stayed the 2026 Derivative Lawsuit pending resolution of any motion for summary judgment in the 2026 Class Action.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intend to defend the above securities and derivative lawsuits vigorously.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Due to the stages of these proceedings and the lack of specific damages requests, we have currently determined the above lawsuits do not present loss contingencies that are both probable and reasonably estimable and, further, we are unable to estimate a range of reasonably possible losses for such lawsuits.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Earnings (Net Loss)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earnings (net loss) per share (amounts in thousands, except per share data):</w:t>
      </w:r>
    </w:p>
    <w:tbl>
      <w:tblPr>
        <w:tblW w:w="9509" w:type="dxa"/>
        <w:jc w:val="left"/>
        <w:tblInd w:w="0" w:type="dxa"/>
        <w:tblLayout w:type="fixed"/>
        <w:tblCellMar>
          <w:top w:w="28" w:type="dxa"/>
          <w:left w:w="28" w:type="dxa"/>
          <w:bottom w:w="28" w:type="dxa"/>
          <w:right w:w="28" w:type="dxa"/>
        </w:tblCellMar>
      </w:tblPr>
      <w:tblGrid>
        <w:gridCol w:w="1547"/>
        <w:gridCol w:w="1357"/>
        <w:gridCol w:w="1370"/>
        <w:gridCol w:w="211"/>
        <w:gridCol w:w="616"/>
        <w:gridCol w:w="109"/>
        <w:gridCol w:w="109"/>
        <w:gridCol w:w="109"/>
        <w:gridCol w:w="109"/>
        <w:gridCol w:w="211"/>
        <w:gridCol w:w="616"/>
        <w:gridCol w:w="109"/>
        <w:gridCol w:w="109"/>
        <w:gridCol w:w="109"/>
        <w:gridCol w:w="109"/>
        <w:gridCol w:w="211"/>
        <w:gridCol w:w="901"/>
        <w:gridCol w:w="109"/>
        <w:gridCol w:w="109"/>
        <w:gridCol w:w="109"/>
        <w:gridCol w:w="109"/>
        <w:gridCol w:w="211"/>
        <w:gridCol w:w="796"/>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and comprehensive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 of dilutive options </w:t>
            </w:r>
            <w:r>
              <w:rPr>
                <w:rFonts w:ascii="Times New Roman;serif" w:hAnsi="Times New Roman;serif"/>
                <w:b w:val="false"/>
                <w:color w:val="000000"/>
                <w:sz w:val="16"/>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 of dilutive RSUs and PSUs </w:t>
            </w:r>
            <w:r>
              <w:rPr>
                <w:rFonts w:ascii="Times New Roman;serif" w:hAnsi="Times New Roman;serif"/>
                <w:b w:val="false"/>
                <w:color w:val="000000"/>
                <w:sz w:val="16"/>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Weighted-average shares outstanding – diluted </w:t>
            </w:r>
            <w:r>
              <w:rPr>
                <w:rFonts w:ascii="Times New Roman;serif" w:hAnsi="Times New Roman;serif"/>
                <w:b w:val="false"/>
                <w:color w:val="000000"/>
                <w:sz w:val="16"/>
              </w:rPr>
              <w:t>(2)</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(net loss) per share:</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283"/>
        <w:ind w:left="0" w:right="0" w:hanging="540"/>
        <w:jc w:val="both"/>
        <w:rPr/>
      </w:pPr>
      <w:r>
        <w:rPr>
          <w:rFonts w:ascii="Times New Roman;serif" w:hAnsi="Times New Roman;serif"/>
          <w:b w:val="false"/>
          <w:color w:val="231F20"/>
          <w:sz w:val="18"/>
          <w:shd w:fill="FFFFFF" w:val="clear"/>
        </w:rPr>
        <w:t>(1)</w:t>
      </w:r>
      <w:r>
        <w:rPr>
          <w:rFonts w:ascii="Times New Roman;serif" w:hAnsi="Times New Roman;serif"/>
          <w:b w:val="false"/>
          <w:color w:val="000000"/>
          <w:sz w:val="18"/>
        </w:rPr>
        <w:t>In calculating diluted weighted-average shares outstanding, we are required to include contingently issuable shares for market-based stock option awards, MSUs and PSUs as if the end of the reporting period were the end of the applicable contingency period, provided the underlying conditions are satisfied.</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(2)For the first half of fiscal 2026 and the first half of fiscal 2025, there is no difference in the weighted-average shares outstanding used in the above calculations due to the Company's net loss.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weighted-average common share equivalents were excluded from the calculation of diluted earnings (net loss) per share because their effect would have been anti-dilutive (amounts in thousands):</w:t>
      </w:r>
    </w:p>
    <w:tbl>
      <w:tblPr>
        <w:tblW w:w="5106" w:type="dxa"/>
        <w:jc w:val="left"/>
        <w:tblInd w:w="0" w:type="dxa"/>
        <w:tblLayout w:type="fixed"/>
        <w:tblCellMar>
          <w:top w:w="28" w:type="dxa"/>
          <w:left w:w="28" w:type="dxa"/>
          <w:bottom w:w="28" w:type="dxa"/>
          <w:right w:w="28" w:type="dxa"/>
        </w:tblCellMar>
      </w:tblPr>
      <w:tblGrid>
        <w:gridCol w:w="450"/>
        <w:gridCol w:w="396"/>
        <w:gridCol w:w="399"/>
        <w:gridCol w:w="199"/>
        <w:gridCol w:w="199"/>
        <w:gridCol w:w="201"/>
        <w:gridCol w:w="143"/>
        <w:gridCol w:w="143"/>
        <w:gridCol w:w="143"/>
        <w:gridCol w:w="239"/>
        <w:gridCol w:w="239"/>
        <w:gridCol w:w="241"/>
        <w:gridCol w:w="109"/>
        <w:gridCol w:w="109"/>
        <w:gridCol w:w="109"/>
        <w:gridCol w:w="199"/>
        <w:gridCol w:w="199"/>
        <w:gridCol w:w="201"/>
        <w:gridCol w:w="141"/>
        <w:gridCol w:w="141"/>
        <w:gridCol w:w="141"/>
        <w:gridCol w:w="223"/>
        <w:gridCol w:w="223"/>
        <w:gridCol w:w="319"/>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5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9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w:t>
            </w:r>
          </w:p>
        </w:tc>
      </w:tr>
    </w:tbl>
    <w:p>
      <w:pPr>
        <w:pStyle w:val="TextBody"/>
        <w:bidi w:val="0"/>
        <w:spacing w:before="0" w:after="10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Segment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retailer of quality, name-brand consumables and fresh products sold primarily through a network of independently operated stores. We manage our business on a consolidated basis and have one operating and one reportable segment. The accounting policies of the segment are the same as those described in the summary of significant accounting policies. In addition, all of our sales were made to customers located in the U.S. and all property and equipment is located in the U.S.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chief operating decision maker ("CODM"), who is our President and Chief Executive Officer, assesses performance for the segment and decides how to allocate resources based on net income (loss), which is reported on the condensed consolidated statements of operations and comprehensive income (loss). The CODM uses this measure in deciding where to reinvest profits and to monitor budget versus actual results. The measure of segment assets is reported on the condensed consolidated balance sheets as total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Information for the segment, including the significant expenses regularly provided to the CODM, is provided in the following tables for the periods presented (amounts in thousands):</w:t>
      </w:r>
    </w:p>
    <w:tbl>
      <w:tblPr>
        <w:tblW w:w="10205" w:type="dxa"/>
        <w:jc w:val="left"/>
        <w:tblInd w:w="0" w:type="dxa"/>
        <w:tblLayout w:type="fixed"/>
        <w:tblCellMar>
          <w:top w:w="28" w:type="dxa"/>
          <w:left w:w="28" w:type="dxa"/>
          <w:bottom w:w="28" w:type="dxa"/>
          <w:right w:w="28" w:type="dxa"/>
        </w:tblCellMar>
      </w:tblPr>
      <w:tblGrid>
        <w:gridCol w:w="1466"/>
        <w:gridCol w:w="1266"/>
        <w:gridCol w:w="1262"/>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6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2,305,339 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sales </w:t>
            </w:r>
            <w:r>
              <w:rPr>
                <w:rFonts w:ascii="Times New Roman;serif" w:hAnsi="Times New Roman;serif"/>
                <w:b w:val="false"/>
                <w:color w:val="000000"/>
                <w:sz w:val="16"/>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1,599,344 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Commission expenses </w:t>
            </w:r>
            <w:r>
              <w:rPr>
                <w:rFonts w:ascii="Times New Roman;serif" w:hAnsi="Times New Roman;serif"/>
                <w:b w:val="false"/>
                <w:color w:val="000000"/>
                <w:sz w:val="16"/>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selling expenses </w:t>
            </w:r>
            <w:r>
              <w:rPr>
                <w:rFonts w:ascii="Times New Roman;serif" w:hAnsi="Times New Roman;serif"/>
                <w:b w:val="false"/>
                <w:color w:val="000000"/>
                <w:sz w:val="16"/>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General and administrative expenses </w:t>
            </w:r>
            <w:r>
              <w:rPr>
                <w:rFonts w:ascii="Times New Roman;serif" w:hAnsi="Times New Roman;serif"/>
                <w:b w:val="false"/>
                <w:color w:val="000000"/>
                <w:sz w:val="16"/>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charges, net </w:t>
            </w:r>
            <w:r>
              <w:rPr>
                <w:rFonts w:ascii="Times New Roman;serif" w:hAnsi="Times New Roman;serif"/>
                <w:b w:val="false"/>
                <w:color w:val="000000"/>
                <w:sz w:val="16"/>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6"/>
              </w:rPr>
              <w:t>(6)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6"/>
              </w:rPr>
              <w:t>(7)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and comprehensive income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(174,696)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283"/>
        <w:ind w:left="0" w:right="0" w:hanging="540"/>
        <w:jc w:val="both"/>
        <w:rPr/>
      </w:pPr>
      <w:r>
        <w:rPr>
          <w:rFonts w:ascii="Times New Roman;serif" w:hAnsi="Times New Roman;serif"/>
          <w:b w:val="false"/>
          <w:color w:val="000000"/>
          <w:sz w:val="18"/>
        </w:rPr>
        <w:t xml:space="preserve">(1)Cost of sales includes merchandise costs, inventory markdowns, inventory losses, transportation costs and distribution and warehousing costs and excludes depreciation and amortization expenses, which were $1.9 million and $1.5 million for the </w:t>
      </w:r>
      <w:r>
        <w:rPr>
          <w:rFonts w:ascii="Times New Roman;serif" w:hAnsi="Times New Roman;serif"/>
          <w:b w:val="false"/>
          <w:color w:val="000000"/>
          <w:sz w:val="20"/>
        </w:rPr>
        <w:t>second</w:t>
      </w:r>
      <w:r>
        <w:rPr>
          <w:color w:val="000000"/>
        </w:rPr>
        <w:t xml:space="preserve"> </w:t>
      </w:r>
      <w:r>
        <w:rPr>
          <w:rFonts w:ascii="Times New Roman;serif" w:hAnsi="Times New Roman;serif"/>
          <w:b w:val="false"/>
          <w:color w:val="000000"/>
          <w:sz w:val="18"/>
        </w:rPr>
        <w:t>quarter of fiscal 2026 and fiscal 2025, respectively, and $3.6 million and $2.9 million for the first half of fiscal 2026 and fiscal 2025, respectively.</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(2)Commission expenses represent commissions earned by IOs.</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(3)Other selling expenses include occupancy for all stores, our portion of maintenance costs for IO stores, the cost of opening new IO stores and payroll, benefits, maintenance, supplies and utilities for company-operated stores.</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(4)General and administrative expenses include payroll and benefits for corporate and field support, marketing and advertising, insurance and professional services and operator recruiting and training costs.</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(5)Net restructuring charges include net costs associated with the Optimization Plan and the Restructuring Plan. See Note 12 for additional information.</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(6)Other segment items represents share-based compensation expense.</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(7)Interest expense primarily includes interest on loans, amortization of debt issuance costs and debt discounts, and interest on finance leases, less capitalized interest. See Note 4 for further discussion.</w:t>
      </w:r>
    </w:p>
    <w:tbl>
      <w:tblPr>
        <w:tblW w:w="6399" w:type="dxa"/>
        <w:jc w:val="left"/>
        <w:tblInd w:w="0" w:type="dxa"/>
        <w:tblLayout w:type="fixed"/>
        <w:tblCellMar>
          <w:top w:w="28" w:type="dxa"/>
          <w:left w:w="28" w:type="dxa"/>
          <w:bottom w:w="28" w:type="dxa"/>
          <w:right w:w="28" w:type="dxa"/>
        </w:tblCellMar>
      </w:tblPr>
      <w:tblGrid>
        <w:gridCol w:w="1353"/>
        <w:gridCol w:w="1187"/>
        <w:gridCol w:w="1195"/>
        <w:gridCol w:w="211"/>
        <w:gridCol w:w="826"/>
        <w:gridCol w:w="109"/>
        <w:gridCol w:w="109"/>
        <w:gridCol w:w="109"/>
        <w:gridCol w:w="109"/>
        <w:gridCol w:w="211"/>
        <w:gridCol w:w="826"/>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intangible assets and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130,470 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12. Restructuring</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Optimization Plan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initiated a business optimization plan during the first quarter of fiscal 2026, intended to strengthen long-term profitability and cash flow generation, improve operational execution, optimize our existing store footprint and align with our disciplined new store growth strategy (the "Optimization Plan"). The Optimization Plan provides for the closure of 36 financially underperforming stores ("Closure Stores"), including the termination, sublease or assignment of the applicable store leases; the termination, sublease or assignment of a lease for a distribution center facility that we are no longer utilizing (together with the store leases, the "Lease Exits"); and the termination of operator agreements with IOs for the Closure Stores as well as certain other store locations (the "Operator Agreement Terminations").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estimate that we will incur between $15 million and $24 million in net total restructuring charges in fiscal 2026 and fiscal 2027 related to the Optimization Plan, and we expect these actions to be substantially completed by the first quarter of fiscal 2027. Estimated net restructuring charges incurred or expected to be incurred include bad debt expense and cash expenses for the Operator Agreement Terminations, as well as costs associated with the Lease Exits. We have negotiated, or intend to negotiate, a lease termination, sublease, or assignment with the landlords of the Lease Exits. We expect to incur net restructuring charges for the Lease Exits which primarily include lease termination fees, costs to prepare the premises for surrender to the landlords, sublessee or assignee, and idle property costs, partially offset by the net non-cash write-off of the right-of-use assets and lease liabilities associated with these leases.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first half of fiscal 2026, we closed all 36 Closure Stores, and we substantially completed the Operator Agreement Terminations. We also increased the provision for IO notes and IO receivables reserves and wrote off uncollectible IO notes and IO receivables associated with these store locations, as further discussed in Note 2. In addition, we negotiated lease terminations with the landlords for certain of the Lease Exits and wrote-off the right-of-use assets and lease liabilities associated with these leases. We also entered into a sublease for the distribution facility we are no longer using. For the leases associated with the Lease Exits, we incurred costs to prepare the premises for surrender to the landlords and idle property costs, net of proceeds received from sales of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charges incurred related to the Optimization Plan during the second quarter and first half of fiscal 2026 (amounts in thousands), which are included in Restructuring charges, net on the condensed consolidated statements of operations and comprehensive income (loss):</w:t>
      </w:r>
    </w:p>
    <w:tbl>
      <w:tblPr>
        <w:tblW w:w="10205" w:type="dxa"/>
        <w:jc w:val="left"/>
        <w:tblInd w:w="0" w:type="dxa"/>
        <w:tblLayout w:type="fixed"/>
        <w:tblCellMar>
          <w:top w:w="28" w:type="dxa"/>
          <w:left w:w="28" w:type="dxa"/>
          <w:bottom w:w="28" w:type="dxa"/>
          <w:right w:w="28" w:type="dxa"/>
        </w:tblCellMar>
      </w:tblPr>
      <w:tblGrid>
        <w:gridCol w:w="2417"/>
        <w:gridCol w:w="2117"/>
        <w:gridCol w:w="2121"/>
        <w:gridCol w:w="255"/>
        <w:gridCol w:w="874"/>
        <w:gridCol w:w="132"/>
        <w:gridCol w:w="109"/>
        <w:gridCol w:w="109"/>
        <w:gridCol w:w="109"/>
        <w:gridCol w:w="255"/>
        <w:gridCol w:w="874"/>
        <w:gridCol w:w="132"/>
        <w:gridCol w:w="109"/>
        <w:gridCol w:w="109"/>
        <w:gridCol w:w="109"/>
        <w:gridCol w:w="109"/>
        <w:gridCol w:w="109"/>
        <w:gridCol w:w="156"/>
      </w:tblGrid>
      <w:tr>
        <w:trPr/>
        <w:tc>
          <w:tcPr>
            <w:tcW w:w="2417"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restructuring charges:</w:t>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Costs associated with the Lease Exits </w:t>
            </w:r>
            <w:r>
              <w:rPr>
                <w:rFonts w:ascii="Times New Roman;serif" w:hAnsi="Times New Roman;serif"/>
                <w:b w:val="false"/>
                <w:color w:val="000000"/>
                <w:sz w:val="16"/>
              </w:rPr>
              <w:t>(1)</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Costs associated with the Operator Agreement Terminations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professional and other costs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restructuring charges</w:t>
            </w:r>
          </w:p>
        </w:tc>
        <w:tc>
          <w:tcPr>
            <w:tcW w:w="11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non-cash restructuring charges (credits):</w:t>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bad debt expense (credit) associated with the Operator Agreement Terminations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write-off of right-of-use assets and lease liabilities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net non-cash restructuring charges </w:t>
            </w:r>
            <w:r>
              <w:rPr>
                <w:rFonts w:ascii="Times New Roman;serif" w:hAnsi="Times New Roman;serif"/>
                <w:b w:val="false"/>
                <w:color w:val="000000"/>
                <w:sz w:val="16"/>
              </w:rPr>
              <w:t>(2)</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non-cash restructuring charges (credits)</w:t>
            </w:r>
          </w:p>
        </w:tc>
        <w:tc>
          <w:tcPr>
            <w:tcW w:w="11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(9,360)</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charges, net</w:t>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23,619 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(1)Cash costs associated with the Lease Exits primarily include lease termination costs, costs to prepare the premises for surrender to the landlords and idle property costs, net of proceeds received for sales of assets.</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(2)Other net non-cash restructuring charges include credits related to non-cash rent associated with the Lease Exits and loss on disposal of long-lived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restructuring liability activity for the Optimization Plan during the first half of fiscal 2026 (amounts in thousands):</w:t>
      </w:r>
    </w:p>
    <w:tbl>
      <w:tblPr>
        <w:tblW w:w="10205" w:type="dxa"/>
        <w:jc w:val="left"/>
        <w:tblInd w:w="0" w:type="dxa"/>
        <w:tblLayout w:type="fixed"/>
        <w:tblCellMar>
          <w:top w:w="28" w:type="dxa"/>
          <w:left w:w="28" w:type="dxa"/>
          <w:bottom w:w="28" w:type="dxa"/>
          <w:right w:w="28" w:type="dxa"/>
        </w:tblCellMar>
      </w:tblPr>
      <w:tblGrid>
        <w:gridCol w:w="786"/>
        <w:gridCol w:w="590"/>
        <w:gridCol w:w="592"/>
        <w:gridCol w:w="350"/>
        <w:gridCol w:w="1029"/>
        <w:gridCol w:w="182"/>
        <w:gridCol w:w="109"/>
        <w:gridCol w:w="109"/>
        <w:gridCol w:w="109"/>
        <w:gridCol w:w="659"/>
        <w:gridCol w:w="1269"/>
        <w:gridCol w:w="343"/>
        <w:gridCol w:w="109"/>
        <w:gridCol w:w="109"/>
        <w:gridCol w:w="109"/>
        <w:gridCol w:w="537"/>
        <w:gridCol w:w="1187"/>
        <w:gridCol w:w="277"/>
        <w:gridCol w:w="109"/>
        <w:gridCol w:w="109"/>
        <w:gridCol w:w="109"/>
        <w:gridCol w:w="211"/>
        <w:gridCol w:w="616"/>
        <w:gridCol w:w="109"/>
        <w:gridCol w:w="109"/>
        <w:gridCol w:w="109"/>
        <w:gridCol w:w="109"/>
        <w:gridCol w:w="160"/>
      </w:tblGrid>
      <w:tr>
        <w:trPr/>
        <w:tc>
          <w:tcPr>
            <w:tcW w:w="7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Lease Termination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Operator Agreement Termination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Legal, Professional and 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January 3, 2026</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restructuring charges</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July 4, 2026</w:t>
            </w:r>
          </w:p>
        </w:tc>
        <w:tc>
          <w:tcPr>
            <w:tcW w:w="3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Restructuring Plan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initiated a restructuring plan during the fourth quarter of fiscal 2024, intended to improve our long-term profitability, cash flow generation and return on invested capital, optimize the footprint of new store growth, and lower our cost base (the "Restructuring Plan"). The actions under the Restructuring Plan were substantially completed in the second quarter of fiscal 2025. The Restructuring Plan included (i) the termination of a total of 28 leases for unopened stores in suboptimal locations and the discontinued development of certain future store sites where we had incurred initial costs, but leases had not yet been signed, (ii) the cancellation of certain capital-intensive warehouse projects and (iii) a reduction in headcount in building a more scalable cost structure.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charges incurred during the second quarter and first half of fiscal 2025 related to the Restructuring Plan, which are included in Restructuring charges, net on the condensed consolidated statements of operations and comprehensive income (loss) (amounts in thousands):</w:t>
      </w:r>
    </w:p>
    <w:tbl>
      <w:tblPr>
        <w:tblW w:w="8151" w:type="dxa"/>
        <w:jc w:val="left"/>
        <w:tblInd w:w="0" w:type="dxa"/>
        <w:tblLayout w:type="fixed"/>
        <w:tblCellMar>
          <w:top w:w="28" w:type="dxa"/>
          <w:left w:w="28" w:type="dxa"/>
          <w:bottom w:w="28" w:type="dxa"/>
          <w:right w:w="28" w:type="dxa"/>
        </w:tblCellMar>
      </w:tblPr>
      <w:tblGrid>
        <w:gridCol w:w="1648"/>
        <w:gridCol w:w="1447"/>
        <w:gridCol w:w="1450"/>
        <w:gridCol w:w="261"/>
        <w:gridCol w:w="894"/>
        <w:gridCol w:w="135"/>
        <w:gridCol w:w="109"/>
        <w:gridCol w:w="109"/>
        <w:gridCol w:w="109"/>
        <w:gridCol w:w="261"/>
        <w:gridCol w:w="894"/>
        <w:gridCol w:w="135"/>
        <w:gridCol w:w="109"/>
        <w:gridCol w:w="109"/>
        <w:gridCol w:w="109"/>
        <w:gridCol w:w="109"/>
        <w:gridCol w:w="109"/>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restructuring charges: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termination costs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Employee severance and benefit costs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Legal, professional and other costs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restructuring charges</w:t>
            </w:r>
          </w:p>
        </w:tc>
        <w:tc>
          <w:tcPr>
            <w:tcW w:w="11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37,166 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impairment and disposal of long-lived assets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restructuring charges</w:t>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45,032 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You should read the following discussion of our financial condition and results of operations in conjunction with the unaudited condensed consolidated financial statements and related notes thereto included elsewhere</w:t>
      </w:r>
      <w:r>
        <w:rPr>
          <w:color w:val="231F20"/>
        </w:rPr>
        <w:t xml:space="preserve"> </w:t>
      </w:r>
      <w:r>
        <w:rPr>
          <w:rFonts w:ascii="Times New Roman;serif" w:hAnsi="Times New Roman;serif"/>
          <w:b w:val="false"/>
          <w:i/>
          <w:color w:val="231F20"/>
          <w:sz w:val="20"/>
        </w:rPr>
        <w:t>in this Form 10-Q,</w:t>
      </w:r>
      <w:r>
        <w:rPr>
          <w:color w:val="000000"/>
        </w:rPr>
        <w:t xml:space="preserve"> </w:t>
      </w:r>
      <w:r>
        <w:rPr>
          <w:rFonts w:ascii="Times New Roman;serif" w:hAnsi="Times New Roman;serif"/>
          <w:b w:val="false"/>
          <w:i/>
          <w:color w:val="000000"/>
          <w:sz w:val="20"/>
        </w:rPr>
        <w:t>and the audited consolidated financial statements and related notes thereto and management's discussion and analysis of financial condition and results of operations included in our 2025 Form 10-K.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other sections of this report. See "Special Note Regarding Forward-Looking Statements" in this report.</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We operate on a fiscal year that ends on the Saturday closest to December 31st each year. The fiscal years ending January 2, 2027 (“fiscal 2026”) and ended January 3, 2026 ("fiscal 2025") consist of 52 weeks and 53 weeks, respectively. References to the second quarter of fiscal 2026 and the second quarter of fiscal 2025 refer to the 13 weeks ended July 4, 2026 and June 28, 2025, respectively.</w:t>
      </w:r>
    </w:p>
    <w:p>
      <w:pPr>
        <w:pStyle w:val="TextBody"/>
        <w:bidi w:val="0"/>
        <w:spacing w:lineRule="auto" w:line="288" w:before="120" w:after="283"/>
        <w:ind w:left="0" w:right="0" w:firstLine="540"/>
        <w:jc w:val="both"/>
        <w:rPr>
          <w:rFonts w:ascii="Times New Roman;serif" w:hAnsi="Times New Roman;serif"/>
          <w:b w:val="false"/>
          <w:i/>
          <w:color w:val="231F20"/>
          <w:sz w:val="20"/>
        </w:rPr>
      </w:pPr>
      <w:r>
        <w:rPr>
          <w:rFonts w:ascii="Times New Roman;serif" w:hAnsi="Times New Roman;serif"/>
          <w:b w:val="false"/>
          <w:i/>
          <w:color w:val="231F20"/>
          <w:sz w:val="20"/>
        </w:rPr>
        <w:t>As used in this report, references to "Grocery Outlet," "the Company," "the registrant," "we," "us" and "our," refer to Grocery Outlet Holding Corp. and its consolidated subsidiaries unless otherwise indicated or the context requires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are a growth-oriented extreme value retailer of quality, name-brand consumables and fresh products sold primarily through a network of independently operated stores. Our flexible buying model allows us to offer quality, name-brand opportunistic products at prices generally 40% to 70% below those of conventional retailers. Our Grocery Outlet stores are primarily run by entrepreneurial independent operators ("IOs") who create a neighborhood feel through personalized customer service and a localized product </w:t>
      </w:r>
      <w:r>
        <w:rPr>
          <w:rFonts w:ascii="Times New Roman;serif" w:hAnsi="Times New Roman;serif"/>
          <w:b w:val="false"/>
          <w:color w:val="000000"/>
          <w:sz w:val="20"/>
          <w:shd w:fill="FFFFFF" w:val="clear"/>
        </w:rPr>
        <w:t>o</w:t>
      </w:r>
      <w:r>
        <w:rPr>
          <w:rFonts w:ascii="Times New Roman;serif" w:hAnsi="Times New Roman;serif"/>
          <w:b w:val="false"/>
          <w:color w:val="000000"/>
          <w:sz w:val="20"/>
        </w:rPr>
        <w:t>ffering. As of July 4, 2026, we had 547 stores in California, Washington, Oregon, Pennsylvania, Tennessee, Nevada, Idaho, Maryland, North Carolina, Ohio, Virginia, Georgia, New Jersey, Alabama, Delaware and Kentucky.</w:t>
      </w:r>
    </w:p>
    <w:p>
      <w:pPr>
        <w:pStyle w:val="TextBody"/>
        <w:bidi w:val="0"/>
        <w:spacing w:lineRule="auto" w:line="288" w:before="240" w:after="283"/>
        <w:jc w:val="both"/>
        <w:rPr>
          <w:rFonts w:ascii="Times New Roman;serif" w:hAnsi="Times New Roman;serif"/>
          <w:b/>
          <w:color w:val="231F20"/>
          <w:sz w:val="20"/>
          <w:shd w:fill="FFFFFF" w:val="clear"/>
        </w:rPr>
      </w:pPr>
      <w:r>
        <w:rPr>
          <w:rFonts w:ascii="Times New Roman;serif" w:hAnsi="Times New Roman;serif"/>
          <w:b/>
          <w:color w:val="231F20"/>
          <w:sz w:val="20"/>
          <w:shd w:fill="FFFFFF" w:val="clear"/>
        </w:rPr>
        <w:t>Recent Trends and Developments</w:t>
      </w:r>
    </w:p>
    <w:p>
      <w:pPr>
        <w:pStyle w:val="TextBody"/>
        <w:bidi w:val="0"/>
        <w:spacing w:lineRule="auto" w:line="288" w:before="120" w:after="283"/>
        <w:ind w:left="0" w:right="0" w:firstLine="54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extent of the continuing impact of the factors set forth below on our operational and financial performance will depend on many factors, including certain factors outside of our control.</w:t>
      </w:r>
    </w:p>
    <w:p>
      <w:pPr>
        <w:pStyle w:val="TextBody"/>
        <w:bidi w:val="0"/>
        <w:spacing w:lineRule="auto" w:line="288" w:before="120" w:after="283"/>
        <w:ind w:left="0" w:right="0" w:firstLine="540"/>
        <w:jc w:val="both"/>
        <w:rPr/>
      </w:pPr>
      <w:r>
        <w:rPr>
          <w:rFonts w:ascii="Times New Roman;serif" w:hAnsi="Times New Roman;serif"/>
          <w:b/>
          <w:i/>
          <w:color w:val="231F20"/>
          <w:sz w:val="20"/>
        </w:rPr>
        <w:t>Macroeconomic Conditions.</w:t>
      </w:r>
      <w:r>
        <w:rPr>
          <w:color w:val="231F20"/>
        </w:rPr>
        <w:t xml:space="preserve"> </w:t>
      </w:r>
      <w:r>
        <w:rPr>
          <w:rFonts w:ascii="Times New Roman;serif" w:hAnsi="Times New Roman;serif"/>
          <w:b w:val="false"/>
          <w:color w:val="000000"/>
          <w:sz w:val="20"/>
        </w:rPr>
        <w:t>Over the past several years, our business has been and continues to be impacted by macroeconomic conditions including supply chain and labor challenges, varying rates of inflation, tariffs, fuel price increases and changes in consumer behavior, and our IOs have been impacted by staffing challenges and increased labor costs and utility costs within their businesses. In recent periods, comparable store sales have been negatively impacted by decreased average transaction size. We are actively pursuing initiatives to increase average transaction size through our deployment of enhanced in-store merchandising and execution to further improve the shopping experience.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Tariffs, such as those recently implemented or proposed by the U.S. government on goods imported from other countries, may result in cost increases on some of the products we sell, such as fresh meat and general merchandise that we import from impacted countries, as well as the materials and supplies we use for store construction. Tariffs may also negatively affect consumer sentiment. The tariff environment remains highly dynamic and specific tariffs applicable to our business continue to evolve. While we are regularly re-evaluating the potential impact of implemented and proposed tariffs, the short-term impact of price increases due to tariffs is largely dependent on our ability to negotiate with suppliers, opportunities to change sources of supply, our assortment decisions and whether or not we pass the effects through to our customers, which will largely depend upon competitive market conditions. It is reasonably possible that new or additional tariffs will be periodically implemented or proposed given the current global trade environment. Sustained uncertainty about, or worsening of, current global economic conditions and further tariffs and escalations of tensions between the U.S. and its trading partners has and could continue to adversely impact the stability of global financial markets and result in a global economic slowdown and long-term changes to global trade, which could in turn have a material adverse impact on our business and financial condition.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February 2026, the Supreme Court of the U.S. issued a ruling striking down certain tariffs previously imposed under the International Emergency Economic Powers Act ("IEEPA"). In the second quarter of fiscal 2026, we applied for tariff refunds, and refunds received have not been material. The ultimate availability, timing, and amount of any potential additional tariff refunds remains uncertain and is subject to further legal, regulatory, and administrative developments. Subsequent to the ruling, in February 2026, the U.S. presidential administration invoked additional tariffs under other laws resulting in a rapidly changing tariff environment. In July 2026, these additional tariffs expired, and the U.S. presidential administration announced new tariffs, which we are assessing the impact. At this time we cannot reasonably estimate the total financial impact of recent tariff developments and however these and any additional tariffs may materially affect our future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erif" w:hAnsi="Times New Roman;serif"/>
          <w:b/>
          <w:i/>
          <w:color w:val="000000"/>
          <w:sz w:val="20"/>
        </w:rPr>
        <w:t>Pricing Competition.</w:t>
      </w:r>
      <w:r>
        <w:rPr>
          <w:color w:val="000000"/>
        </w:rPr>
        <w:t xml:space="preserve"> </w:t>
      </w:r>
      <w:r>
        <w:rPr>
          <w:rFonts w:ascii="Times New Roman;serif" w:hAnsi="Times New Roman;serif"/>
          <w:b w:val="false"/>
          <w:color w:val="000000"/>
          <w:sz w:val="20"/>
        </w:rPr>
        <w:t>During the last few years we have observed an increase in promotional and pricing activities from key competitors, putting further pressure on our relative value proposition, which in turn, has resulted in our increased efforts to actively negotiate costs and adjust prices to sharpen our value proposition. We have invested and plan to continue to invest in additional promotional activity in the near term, which adversely impacted gross margin in the first half of fiscal 2026 and which we expect will continue to adversely impact gross margin through the third quarter of fiscal 2026.</w:t>
      </w:r>
    </w:p>
    <w:p>
      <w:pPr>
        <w:pStyle w:val="TextBody"/>
        <w:bidi w:val="0"/>
        <w:spacing w:lineRule="auto" w:line="288" w:before="120" w:after="283"/>
        <w:ind w:left="0" w:right="0" w:firstLine="540"/>
        <w:jc w:val="both"/>
        <w:rPr/>
      </w:pPr>
      <w:r>
        <w:rPr>
          <w:rFonts w:ascii="Times New Roman;serif" w:hAnsi="Times New Roman;serif"/>
          <w:b/>
          <w:i/>
          <w:color w:val="000000"/>
          <w:sz w:val="20"/>
        </w:rPr>
        <w:t>Opportunistic Product</w:t>
      </w:r>
      <w:r>
        <w:rPr>
          <w:rFonts w:ascii="Times New Roman;serif" w:hAnsi="Times New Roman;serif"/>
          <w:b w:val="false"/>
          <w:color w:val="000000"/>
          <w:sz w:val="20"/>
        </w:rPr>
        <w:t>. We continue working to increase opportunistic product levels to what we believe is necessary to improve the perception of our value leadership and drive sales. As of the second quarter of fiscal 2026, comparable sales from opportunistic product has improved relative to the first quarter of fiscal 2026.</w:t>
      </w:r>
    </w:p>
    <w:p>
      <w:pPr>
        <w:pStyle w:val="TextBody"/>
        <w:bidi w:val="0"/>
        <w:spacing w:lineRule="auto" w:line="288" w:before="120" w:after="283"/>
        <w:ind w:left="0" w:right="0" w:firstLine="540"/>
        <w:jc w:val="both"/>
        <w:rPr/>
      </w:pPr>
      <w:r>
        <w:rPr>
          <w:rFonts w:ascii="Times New Roman;serif" w:hAnsi="Times New Roman;serif"/>
          <w:b/>
          <w:i/>
          <w:color w:val="000000"/>
          <w:sz w:val="20"/>
        </w:rPr>
        <w:t>Optimization Plan.</w:t>
      </w:r>
      <w:r>
        <w:rPr>
          <w:color w:val="000000"/>
        </w:rPr>
        <w:t xml:space="preserve"> </w:t>
      </w:r>
      <w:r>
        <w:rPr>
          <w:rFonts w:ascii="Times New Roman;serif" w:hAnsi="Times New Roman;serif"/>
          <w:b w:val="false"/>
          <w:color w:val="000000"/>
          <w:sz w:val="20"/>
        </w:rPr>
        <w:t>We initiated a business optimization plan during the first quarter of fiscal 2026, intended to strengthen long-term profitability and cash flow generation, improve operational execution, optimize our existing store footprint and align with our disciplined new store growth strategy (the "Optimization Plan"). The Optimization Plan provides for the closure of 36 financially underperforming stores ("Closure Stores"), including the termination, sublease or assignment of the applicable store leases; the termination, sublease or assignment of a lease for a distribution center facility that we are no longer utilizing (together with the store leases, the "Lease Exits"); and the termination of operator agreements with IOs for the Closure Stores as well as certain other store locations (the "Operator Agreement Terminations").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estimate that we will incur between $15 million and $24 million in net total restructuring charges in fiscal 2026 and fiscal 2027 related to the Optimization Plan, and we expect these actions to be substantially completed by the first quarter of fiscal 2027. We incurred bad debt expense of approximately $15 million and cash costs of approximately $3 million in connection with the Operator Agreement Terminations. We have negotiated, or intend to negotiate, a lease termination, sublease or assignment with the landlords of the Lease Exits. We expect to incur net restructuring charges for the Lease Exits totaling between $(3) million and $6 million, which primarily include cash costs of between $50 million and $60 million for lease termination fees, costs to prepare the premises for surrender to the landlords, sublessee or assignee, and idle property costs, partially offset by the net non-cash write-off of the right-of-use assets and lease liabilities associated with these leases of between $(53) million and $(54) million.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first half of fiscal 2026, we closed all 36 Closure Stores, and we substantially completed the Operator Agreement Terminations. In addition, we negotiated lease terminations with the landlords for certain of the Lease Exits and wrote-off the right-of-use assets and lease liabilities associated with these leases. We also entered into a sublease for the distribution facility we are no longer using. For the leases associated with the Lease Exits, we incurred costs to prepare the premises for surrender to the landlords and idle property costs, net of proceeds received from sales of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12 to the condensed consolidated financial statements for additional information regarding the Optimization Plan, including the costs incurred and restructuring liability activity.</w:t>
      </w:r>
    </w:p>
    <w:p>
      <w:pPr>
        <w:pStyle w:val="TextBody"/>
        <w:bidi w:val="0"/>
        <w:spacing w:lineRule="auto" w:line="288" w:before="120" w:after="283"/>
        <w:ind w:left="0" w:right="0" w:firstLine="540"/>
        <w:jc w:val="both"/>
        <w:rPr/>
      </w:pPr>
      <w:r>
        <w:rPr>
          <w:rFonts w:ascii="Times New Roman;serif" w:hAnsi="Times New Roman;serif"/>
          <w:b/>
          <w:i/>
          <w:color w:val="000000"/>
          <w:sz w:val="20"/>
        </w:rPr>
        <w:t>New Store Growth.</w:t>
      </w:r>
      <w:r>
        <w:rPr>
          <w:color w:val="000000"/>
        </w:rPr>
        <w:t xml:space="preserve"> </w:t>
      </w:r>
      <w:r>
        <w:rPr>
          <w:rFonts w:ascii="Times New Roman;serif" w:hAnsi="Times New Roman;serif"/>
          <w:b w:val="false"/>
          <w:color w:val="000000"/>
          <w:sz w:val="20"/>
        </w:rPr>
        <w:t>Our new store growth efforts are focused on organic growth combined with complementary real estate opportunities that align with our long-term geographic expansion and store growth strategies. Complementary growth opportunities may include expanding strategic relationships with large property owners, evaluating acquisitions of opportunistic real estate that become available through consolidation in the retail sector, and exploring strategic regional acquisitions of operating businesses.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Excluding the Closure Stores related to the Optimization Plan, we opened 13 net new stores in the first half of fiscal 2026, and we plan to open 30 to 33 net new stores for the full year fiscal 2026. We have begun to expand with a more clustered location model in new markets to improve supply chain efficiency and marketing leverage that reflects our more disciplined approach. We also have started to make adjustments to how we go to market, including piloting new approaches to store openings and underwriting to stricter standards. For example, we are operating certain of these new stores as Company-operated stores initially, which differs from our historical practice, before eventually transitioning the operations to an 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Factors and Measures We Use to Evaluate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consider a variety of financial and operating measures in assessing the performance of our business. The key financial measures we use in accordance with accounting principles generally accepted in the United States of America ("GAAP") are net sales, gross profit and gross margin, selling, general and administrative expenses ("SG&amp;A"), operating income (loss), net income (loss) and comprehensive income (loss) and earnings (net loss) per share. The key operational metrics and non-GAAP financial measures we use are number of new stores, comparable store sales, EBITDA, adjusted EBITDA, adjusted net income and adjusted earnings per share.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Second Quarter of Fiscal 2026 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Key financial and operating performance results for the second quarter of fiscal 2026 compared to the second quarter of fiscal 2025 were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shd w:fill="FFFFFF" w:val="clear"/>
        </w:rPr>
        <w:t xml:space="preserve">Net </w:t>
      </w:r>
      <w:r>
        <w:rPr>
          <w:rFonts w:ascii="Times New Roman;serif" w:hAnsi="Times New Roman;serif"/>
          <w:b w:val="false"/>
          <w:color w:val="000000"/>
          <w:sz w:val="20"/>
        </w:rPr>
        <w:t>sales increased 1.1% to $1.19 billion.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Comparable store sales declined by 0.3%, driven by a 2.1% decrease in average transaction size, partially offset by a 1.8% increase in the number of transactions.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Gross margin was 30.2%, compared to 30.6% in the second quarter of fiscal 2025, a decline of 40 basis points.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We </w:t>
      </w:r>
      <w:r>
        <w:rPr>
          <w:rFonts w:ascii="Times New Roman;serif" w:hAnsi="Times New Roman;serif"/>
          <w:b w:val="false"/>
          <w:color w:val="000000"/>
          <w:sz w:val="20"/>
        </w:rPr>
        <w:t>o</w:t>
      </w:r>
      <w:r>
        <w:rPr>
          <w:rFonts w:ascii="Times New Roman;serif" w:hAnsi="Times New Roman;serif"/>
          <w:b w:val="false"/>
          <w:color w:val="000000"/>
          <w:sz w:val="20"/>
          <w:shd w:fill="FFFFFF" w:val="clear"/>
        </w:rPr>
        <w:t>p</w:t>
      </w:r>
      <w:r>
        <w:rPr>
          <w:rFonts w:ascii="Times New Roman;serif" w:hAnsi="Times New Roman;serif"/>
          <w:b w:val="false"/>
          <w:color w:val="000000"/>
          <w:sz w:val="20"/>
        </w:rPr>
        <w:t>ened 10 new stores and closed 12 stores, including 9 stores as a result of the Optimization Plan (see Note 12 to the condensed consolidated financial statements for additional information), ending the second quarter of fiscal 2026 with 547 stores in 16 states.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Operating income was $15.8 million, which included $5.4 million in net restructuring charges related to the Optimization Plan (see Note 12 to the condensed consolidated financial statements for additional information).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income was $5.6 million, or $0.06 per diluted share, compared to net loss of $5.0 million, or $0.05 per diluted share, in the second quarter of fiscal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Adjusted net income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$20.3 million, or $0.20 diluted adjusted earnings per share</w:t>
      </w:r>
      <w:r>
        <w:rPr>
          <w:rFonts w:ascii="Times New Roman;serif" w:hAnsi="Times New Roman;serif"/>
          <w:b w:val="false"/>
          <w:color w:val="000000"/>
          <w:sz w:val="13"/>
        </w:rPr>
        <w:t>(1)</w:t>
      </w:r>
      <w:r>
        <w:rPr>
          <w:rFonts w:ascii="Times New Roman;serif" w:hAnsi="Times New Roman;serif"/>
          <w:b w:val="false"/>
          <w:color w:val="000000"/>
          <w:sz w:val="20"/>
        </w:rPr>
        <w:t>, compared to $22.8 million, or $0.23 diluted adjusted earnings per share, in the second quarter of fiscal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$65.7 million, compared to $67.7 million in the second quarter of fiscal 2025.</w:t>
      </w:r>
    </w:p>
    <w:p>
      <w:pPr>
        <w:pStyle w:val="TextBody"/>
        <w:bidi w:val="0"/>
        <w:spacing w:lineRule="auto" w:line="288" w:before="4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120" w:after="283"/>
        <w:ind w:left="0" w:right="0" w:hanging="360"/>
        <w:jc w:val="both"/>
        <w:rPr/>
      </w:pPr>
      <w:r>
        <w:rPr>
          <w:rFonts w:ascii="Times New Roman;serif" w:hAnsi="Times New Roman;serif"/>
          <w:b w:val="false"/>
          <w:color w:val="231F20"/>
          <w:sz w:val="18"/>
          <w:shd w:fill="FFFFFF" w:val="clear"/>
        </w:rPr>
        <w:t>(1)</w:t>
      </w:r>
      <w:r>
        <w:rPr>
          <w:rFonts w:ascii="Times New Roman;serif" w:hAnsi="Times New Roman;serif"/>
          <w:b w:val="false"/>
          <w:color w:val="000000"/>
          <w:sz w:val="18"/>
        </w:rPr>
        <w:t>Adjusted net income, diluted adjusted earnings per share and adjusted EBITDA are non-GAAP financial measures, which exclude the impact of certain special items. Please note that our non-GAAP financial measures should be considered as a supplement to, and not as a substitute for, or superior to, financial measures calculated in accordance with GAAP. See the "Operating Metrics and Non-GAAP Financial Measures" section below for additional information about these items, including their definitions, how the non-GAAP financial measures provide useful information to investors and how management utilizes them, and reconciliations of the non-GAAP financial measures and the most directly comparable 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key components of our results of operations both in dollars and as a percentage of net sales (amounts in thousands, except for percentages):</w:t>
      </w:r>
    </w:p>
    <w:tbl>
      <w:tblPr>
        <w:tblW w:w="10409" w:type="dxa"/>
        <w:jc w:val="left"/>
        <w:tblInd w:w="0" w:type="dxa"/>
        <w:tblLayout w:type="fixed"/>
        <w:tblCellMar>
          <w:top w:w="28" w:type="dxa"/>
          <w:left w:w="28" w:type="dxa"/>
          <w:bottom w:w="28" w:type="dxa"/>
          <w:right w:w="28" w:type="dxa"/>
        </w:tblCellMar>
      </w:tblPr>
      <w:tblGrid>
        <w:gridCol w:w="613"/>
        <w:gridCol w:w="366"/>
        <w:gridCol w:w="372"/>
        <w:gridCol w:w="211"/>
        <w:gridCol w:w="976"/>
        <w:gridCol w:w="109"/>
        <w:gridCol w:w="109"/>
        <w:gridCol w:w="109"/>
        <w:gridCol w:w="109"/>
        <w:gridCol w:w="308"/>
        <w:gridCol w:w="308"/>
        <w:gridCol w:w="271"/>
        <w:gridCol w:w="109"/>
        <w:gridCol w:w="109"/>
        <w:gridCol w:w="109"/>
        <w:gridCol w:w="211"/>
        <w:gridCol w:w="976"/>
        <w:gridCol w:w="109"/>
        <w:gridCol w:w="109"/>
        <w:gridCol w:w="109"/>
        <w:gridCol w:w="109"/>
        <w:gridCol w:w="308"/>
        <w:gridCol w:w="308"/>
        <w:gridCol w:w="271"/>
        <w:gridCol w:w="109"/>
        <w:gridCol w:w="109"/>
        <w:gridCol w:w="109"/>
        <w:gridCol w:w="211"/>
        <w:gridCol w:w="721"/>
        <w:gridCol w:w="109"/>
        <w:gridCol w:w="109"/>
        <w:gridCol w:w="109"/>
        <w:gridCol w:w="109"/>
        <w:gridCol w:w="308"/>
        <w:gridCol w:w="308"/>
        <w:gridCol w:w="483"/>
        <w:gridCol w:w="109"/>
        <w:gridCol w:w="109"/>
        <w:gridCol w:w="109"/>
        <w:gridCol w:w="109"/>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04,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 of Net Sales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 of Net Sales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and comprehensive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634" w:type="dxa"/>
        <w:jc w:val="left"/>
        <w:tblInd w:w="0" w:type="dxa"/>
        <w:tblLayout w:type="fixed"/>
        <w:tblCellMar>
          <w:top w:w="28" w:type="dxa"/>
          <w:left w:w="28" w:type="dxa"/>
          <w:bottom w:w="28" w:type="dxa"/>
          <w:right w:w="28" w:type="dxa"/>
        </w:tblCellMar>
      </w:tblPr>
      <w:tblGrid>
        <w:gridCol w:w="613"/>
        <w:gridCol w:w="366"/>
        <w:gridCol w:w="372"/>
        <w:gridCol w:w="211"/>
        <w:gridCol w:w="976"/>
        <w:gridCol w:w="109"/>
        <w:gridCol w:w="109"/>
        <w:gridCol w:w="109"/>
        <w:gridCol w:w="109"/>
        <w:gridCol w:w="308"/>
        <w:gridCol w:w="308"/>
        <w:gridCol w:w="271"/>
        <w:gridCol w:w="109"/>
        <w:gridCol w:w="109"/>
        <w:gridCol w:w="109"/>
        <w:gridCol w:w="211"/>
        <w:gridCol w:w="976"/>
        <w:gridCol w:w="109"/>
        <w:gridCol w:w="109"/>
        <w:gridCol w:w="109"/>
        <w:gridCol w:w="109"/>
        <w:gridCol w:w="308"/>
        <w:gridCol w:w="308"/>
        <w:gridCol w:w="271"/>
        <w:gridCol w:w="109"/>
        <w:gridCol w:w="109"/>
        <w:gridCol w:w="109"/>
        <w:gridCol w:w="211"/>
        <w:gridCol w:w="841"/>
        <w:gridCol w:w="109"/>
        <w:gridCol w:w="109"/>
        <w:gridCol w:w="109"/>
        <w:gridCol w:w="109"/>
        <w:gridCol w:w="360"/>
        <w:gridCol w:w="361"/>
        <w:gridCol w:w="483"/>
        <w:gridCol w:w="109"/>
        <w:gridCol w:w="109"/>
        <w:gridCol w:w="109"/>
        <w:gridCol w:w="109"/>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 of Net Sales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 of Net Sales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(174,696)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(1)Components may not sum to totals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Operating Metrics and Non-GAAP Financial Measures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Number of New Stores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number of new stores reflects the number of stores opened or acquired during a particular reporting period. Newly opened stores require an initial capital investment from us for store build-outs, fixtures and equipment that we amortize over time as well as cash required for inventory and pre-opening expenses and typically the issuance of IO notes to support IO startup costs.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new store growth to be an important driver of our net sales growth over the long term. We lease substantially all of our store locations. Our initial lease terms on stores are typically ten to fifteen years with options to renew for three or four successive five-year periods.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Comparable Store Sales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comparable store sales as an operating metric to measure performance of a store during the current reporting period against the performance of the same store in the corresponding period of the previous year. Comparable store sales are impacted by the same factors that impact net sales.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Comparable store sales consist of net sales from our stores beginning on the first day of the fourteenth full fiscal month following a store's opening, which is when we believe comparability is achieved, or the thirteenth full fiscal month following a store's acquisition. Included in our comparable store definition are those stores that have been remodeled, expanded, or relocated in their existing location or respective trade areas. Excluded from our comparable store definition are those stores that have been temporarily closed for an extended period, those that have had their business materially disrupted for both planned projects as well as due to unforeseen circumstances, permanent store closures and dispositions. When applicable, as is the case with fiscal 2025, we exclude the net sales in the non-comparable week of a 53-week year from the same store sales calculation after comparing the current and prior year weekly periods that are most closely aligned. The 36 stores that were closed in March and April of 2026 as a result of the Optimization plan, as discussed further in Note 12 to the condensed consolidated financial statements, were excluded from comparable store sales beginning in February and March of 2026, respectively. Starting in the second quarter of fiscal 2025, comparable store sales include the addition of stores from the acquisition of United Grocery Outlet on April 1, 2024.</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Opening or, on a limited strategic basis, acquiring new stores is a significant component of our disciplined new store growth strategy and, as we continue to execute on our growth strategy, we expect that a significant portion of our net sales growth will be attributable to non-comparable store net sales. Accordingly, comparable store sales is only one of many measur</w:t>
      </w:r>
      <w:r>
        <w:rPr>
          <w:rFonts w:ascii="Times New Roman;serif" w:hAnsi="Times New Roman;serif"/>
          <w:b w:val="false"/>
          <w:color w:val="000000"/>
          <w:sz w:val="20"/>
          <w:shd w:fill="FFFFFF" w:val="clear"/>
        </w:rPr>
        <w:t>es we use to assess the success of our growth strategy.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EBITDA, Adjusted EBITDA, Adjusted Net Income and Adjusted Earnings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EBITDA, adjusted EBITDA, adjusted net income and adjusted earnings per share are non-GAAP financial measures that are supplemental key metrics used by management and our Board of Directors to assess our financial performance. EBITDA, adjusted EBITDA, adjusted net income and adjusted earnings per share are also frequently used by analysts, investors and other interested parties to evaluate us and other companies in our industry. Management believes it is useful to investors and analysts to evaluate these non-GAAP financial measures on the same basis as management uses to evaluate our operating results. We use these non-GAAP financial measures to supplement GAAP financial measures of performance to evaluate the effectiveness of our business strategies, to make budgeting decisions and to compare our performance against that of other peer companies using similar measures. In addition, we use adjusted EBITDA to supplement GAAP financial measures of performance to evaluate our performance in connection with compensation decisions. We believe that excluding items from operating income (loss), net income (loss) and earnings (net loss) per diluted share that may not be indicative of, or are unrelated to, our core operating results, and that may vary in frequency or magnitude, enhances the comparability of our results and provides additional information for analyzing trends in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define EBITDA as net income (loss) before net interest expense, income taxes and depreciation and amortization expenses. Adjusted EBITDA represents EBITDA adjusted to exclude share-based compensation expense, asset impairment and gain or loss on disposition, acquisition and integration costs, costs related to the amortization of inventory purchase accounting asset step-ups, restructuring and related charges, goodwill impairment and certain other expenses that may not be indicative of, or are unrelated to, our core operating results, and that may vary in frequency or magnitude. Adjusted net income represents net income (loss) adjusted for the previously mentioned adjusted EBITDA adjustments, further adjusted for the amortization of property and equipment purchase accounting asset step-ups and deferred financing costs, tax adjustment to normalize the effective tax rate, and tax effect of total adjustments. Basic adjusted earnings per share is calculated using adjusted net income, as defined above, and basic weighted-average shares outstanding. Diluted adjusted earnings per share is calculated using adjusted net income, as defined above, and diluted weighted-average shares outstanding. These non-GAAP financial measures may not be comparable to similar measures reported by other companies and have limitations as analytical tools, and you should not consider them in isolation or as a substitute for analysis of our results as reported under GAAP. We address the limitations of the non-GAAP financial measures through the use of various GAAP measures. In the future, we will incur expenses or charges such as those added back to calculate adjusted EBITDA or adjusted net income. Our presentation of these non-GAAP financial measures should not be construed as an inference that our future results will be unaffected by the adjustments we have used to derive such non-GAAP measures.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key operating metrics and non-GAAP financial measures for the periods presented (amounts in thousands, except for percentages and store counts):</w:t>
      </w:r>
    </w:p>
    <w:tbl>
      <w:tblPr>
        <w:tblW w:w="9797" w:type="dxa"/>
        <w:jc w:val="left"/>
        <w:tblInd w:w="0" w:type="dxa"/>
        <w:tblLayout w:type="fixed"/>
        <w:tblCellMar>
          <w:top w:w="28" w:type="dxa"/>
          <w:left w:w="28" w:type="dxa"/>
          <w:bottom w:w="28" w:type="dxa"/>
          <w:right w:w="28" w:type="dxa"/>
        </w:tblCellMar>
      </w:tblPr>
      <w:tblGrid>
        <w:gridCol w:w="1358"/>
        <w:gridCol w:w="1192"/>
        <w:gridCol w:w="1199"/>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Financial and Operations Data</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Number of new stores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stores open at end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Comparable store sales increase (decrease) </w:t>
            </w:r>
            <w:r>
              <w:rPr>
                <w:rFonts w:ascii="Times New Roman;serif" w:hAnsi="Times New Roman;serif"/>
                <w:b w:val="false"/>
                <w:color w:val="000000"/>
                <w:sz w:val="16"/>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EBITDA </w:t>
            </w:r>
            <w:r>
              <w:rPr>
                <w:rFonts w:ascii="Times New Roman;serif" w:hAnsi="Times New Roman;serif"/>
                <w:b w:val="false"/>
                <w:color w:val="000000"/>
                <w:sz w:val="16"/>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6"/>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net income </w:t>
            </w:r>
            <w:r>
              <w:rPr>
                <w:rFonts w:ascii="Times New Roman;serif" w:hAnsi="Times New Roman;serif"/>
                <w:b w:val="false"/>
                <w:color w:val="000000"/>
                <w:sz w:val="16"/>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(1)Comparable store sales consist of net sales from our stores beginning on the first day of the fourteenth full fiscal month following the store's opening, which is when we believe comparability is achieved, or the thirteenth full fiscal month following the store's acquisition.</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(2)See "GAAP to Non-GAAP Reconciliations" section below for the applicable reconciliations.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GAAP to Non-GAAP Reconciliations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reconciliations from our GAAP net income (loss) to EBITDA and adjusted EBITDA, GAAP net income (loss) to adjusted net income, and our GAAP earnings (net loss) per share to adjusted earnings per share for the periods presented (amounts in thousands, except per share data):</w:t>
      </w:r>
    </w:p>
    <w:tbl>
      <w:tblPr>
        <w:tblW w:w="9749" w:type="dxa"/>
        <w:jc w:val="left"/>
        <w:tblInd w:w="0" w:type="dxa"/>
        <w:tblLayout w:type="fixed"/>
        <w:tblCellMar>
          <w:top w:w="28" w:type="dxa"/>
          <w:left w:w="28" w:type="dxa"/>
          <w:bottom w:w="28" w:type="dxa"/>
          <w:right w:w="28" w:type="dxa"/>
        </w:tblCellMar>
      </w:tblPr>
      <w:tblGrid>
        <w:gridCol w:w="1548"/>
        <w:gridCol w:w="1357"/>
        <w:gridCol w:w="1369"/>
        <w:gridCol w:w="211"/>
        <w:gridCol w:w="721"/>
        <w:gridCol w:w="109"/>
        <w:gridCol w:w="109"/>
        <w:gridCol w:w="109"/>
        <w:gridCol w:w="109"/>
        <w:gridCol w:w="211"/>
        <w:gridCol w:w="721"/>
        <w:gridCol w:w="109"/>
        <w:gridCol w:w="109"/>
        <w:gridCol w:w="109"/>
        <w:gridCol w:w="109"/>
        <w:gridCol w:w="211"/>
        <w:gridCol w:w="901"/>
        <w:gridCol w:w="109"/>
        <w:gridCol w:w="109"/>
        <w:gridCol w:w="109"/>
        <w:gridCol w:w="109"/>
        <w:gridCol w:w="211"/>
        <w:gridCol w:w="826"/>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 impairment and gain or loss on disposition </w:t>
            </w:r>
            <w:r>
              <w:rPr>
                <w:rFonts w:ascii="Times New Roman;serif" w:hAnsi="Times New Roman;serif"/>
                <w:b w:val="false"/>
                <w:color w:val="000000"/>
                <w:sz w:val="16"/>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 costs </w:t>
            </w:r>
            <w:r>
              <w:rPr>
                <w:rFonts w:ascii="Times New Roman;serif" w:hAnsi="Times New Roman;serif"/>
                <w:b w:val="false"/>
                <w:color w:val="000000"/>
                <w:sz w:val="16"/>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related charges </w:t>
            </w:r>
            <w:r>
              <w:rPr>
                <w:rFonts w:ascii="Times New Roman;serif" w:hAnsi="Times New Roman;serif"/>
                <w:b w:val="false"/>
                <w:color w:val="000000"/>
                <w:sz w:val="16"/>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6"/>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119,632 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32"/>
        <w:gridCol w:w="1513"/>
        <w:gridCol w:w="1450"/>
        <w:gridCol w:w="211"/>
        <w:gridCol w:w="721"/>
        <w:gridCol w:w="109"/>
        <w:gridCol w:w="109"/>
        <w:gridCol w:w="109"/>
        <w:gridCol w:w="109"/>
        <w:gridCol w:w="211"/>
        <w:gridCol w:w="721"/>
        <w:gridCol w:w="109"/>
        <w:gridCol w:w="109"/>
        <w:gridCol w:w="109"/>
        <w:gridCol w:w="109"/>
        <w:gridCol w:w="211"/>
        <w:gridCol w:w="882"/>
        <w:gridCol w:w="109"/>
        <w:gridCol w:w="109"/>
        <w:gridCol w:w="109"/>
        <w:gridCol w:w="109"/>
        <w:gridCol w:w="211"/>
        <w:gridCol w:w="777"/>
        <w:gridCol w:w="157"/>
      </w:tblGrid>
      <w:tr>
        <w:trPr/>
        <w:tc>
          <w:tcPr>
            <w:tcW w:w="183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 impairment and gain or loss on disposition </w:t>
            </w:r>
            <w:r>
              <w:rPr>
                <w:rFonts w:ascii="Times New Roman;serif" w:hAnsi="Times New Roman;serif"/>
                <w:b w:val="false"/>
                <w:color w:val="000000"/>
                <w:sz w:val="16"/>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 costs </w:t>
            </w:r>
            <w:r>
              <w:rPr>
                <w:rFonts w:ascii="Times New Roman;serif" w:hAnsi="Times New Roman;serif"/>
                <w:b w:val="false"/>
                <w:color w:val="000000"/>
                <w:sz w:val="16"/>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purchase accounting assets and deferred financing costs </w:t>
            </w:r>
            <w:r>
              <w:rPr>
                <w:rFonts w:ascii="Times New Roman;serif" w:hAnsi="Times New Roman;serif"/>
                <w:b w:val="false"/>
                <w:color w:val="000000"/>
                <w:sz w:val="16"/>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related charges </w:t>
            </w:r>
            <w:r>
              <w:rPr>
                <w:rFonts w:ascii="Times New Roman;serif" w:hAnsi="Times New Roman;serif"/>
                <w:b w:val="false"/>
                <w:color w:val="000000"/>
                <w:sz w:val="16"/>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6"/>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adjustment to normalize effective tax rate </w:t>
            </w:r>
            <w:r>
              <w:rPr>
                <w:rFonts w:ascii="Times New Roman;serif" w:hAnsi="Times New Roman;serif"/>
                <w:b w:val="false"/>
                <w:color w:val="000000"/>
                <w:sz w:val="16"/>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effect of total adjustments </w:t>
            </w:r>
            <w:r>
              <w:rPr>
                <w:rFonts w:ascii="Times New Roman;serif" w:hAnsi="Times New Roman;serif"/>
                <w:b w:val="false"/>
                <w:color w:val="000000"/>
                <w:sz w:val="16"/>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GAAP earnings (net loss)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earnings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w:t>
            </w:r>
            <w:r>
              <w:rPr>
                <w:rFonts w:ascii="Times New Roman;serif" w:hAnsi="Times New Roman;serif"/>
                <w:b w:val="false"/>
                <w:color w:val="000000"/>
                <w:sz w:val="16"/>
              </w:rPr>
              <w:t>(8)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weighted-average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w:t>
            </w:r>
            <w:r>
              <w:rPr>
                <w:rFonts w:ascii="Times New Roman;serif" w:hAnsi="Times New Roman;serif"/>
                <w:b w:val="false"/>
                <w:color w:val="000000"/>
                <w:sz w:val="16"/>
              </w:rPr>
              <w:t>(9)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0" w:after="283"/>
        <w:ind w:left="0" w:right="0" w:hanging="54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(1)Represents non-restructuring asset impairment charges and gains or losses on dispositions of assets.</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(2)Represents costs related to the acquisition and integration of United Grocery Outlet, including due diligence, legal, consulting and retention bonus expenses.</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(3)Represents the incremental amortization of an asset step-up resulting from purchase price accounting related to our acquisition in 2014 by an investment fund affiliated with Hellman &amp; Friedman LLC, our former affiliate, as well as the amortization of debt issuance costs.</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(4)In the second quarter and first half of fiscal 2026, represents net charges associated with the Optimization Plan. For the second quarter of fiscal 2026, net charges included cash costs associated with the Lease Exits of $13.1 million, costs related to Operator Agreement Terminations of $1.1 million, write-offs of merchandise inventory of $0.5 million, and other restructuring charges, partially offset by the net write-off of right-of-use assets and lease liabilities of $8.6 million. For the first half of fiscal 2026, net charges included bad debt expense of $15.4 million, cash costs associated with the Lease Exits of $13.9 million, costs related to Operator Agreement Terminations of $2.7 million, write-offs of merchandise inventory of $2.2 million, and other restructuring charges, partially offset by the net write-off of right-of-use assets and lease liabilities of $8.6 million. In the second quarter and first half of fiscal 2025, represents charges associated with the Restructuring Plan, including lease termination costs of $5.0 million and $34.1 million, respectively, non-cash impairment and disposal of long-lived assets of $6.1 million and $7.9 million, respectively, employee severance and benefit costs, and legal, professional and other related expenses. All such costs are reflected in Restructuring charges, net on the condensed consolidated statements of operations and comprehensive income (loss), except for write-offs of merchandise inventory, which are included in Cost of sales. See Note 12 to the condensed consolidated financial statements for additional information on the Optimization Plan and the Restructuring Plan.</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(5)Represents other non-recurring, non-cash or non-operational items, such as strategic project costs of $3.4 million and $7.9 million in the second quarter and first half of fiscal 2026, respectively, certain personnel-related hiring and termination costs, legal settlements and other legal expenses, system implementation costs, costs related to employer payroll taxes associated with equity awards, store closing costs, and miscellaneous costs.</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(6)Represents adjustments to normalize the effective tax rate for the impact of unusual or infrequent tax items that we do not consider in our evaluation of ongoing performance, including excess tax benefits or shortfalls related to exercise and/or vesting of share-based awards that are recorded in earnings as discrete items in the reporting period in which they occur.</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 xml:space="preserve">(7)Represents the tax effect of the total adjustments. We calculate the tax effect of the total adjustments on a discrete basis excluding any non-recurring and unusual tax items. </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(8)As discussed in Note 10 to the condensed consolidated financial statements, for the first half of fiscal 2026 and the first half of fiscal 2025, there is no difference in the weighted-average shares outstanding used to calculate the basic and diluted GAAP net loss per share due to the Company's net loss.</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(9)To calculate diluted adjusted earnings per share, we adjusted the weighted-average shares outstanding for the dilutive effect of all potential shares of common stock.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Comparison of the Second Quarter and First Half of Fiscal 2026 and Fiscal 2025 (amounts in thousands, except percentages)</w:t>
      </w:r>
    </w:p>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 xml:space="preserve">Net Sales </w:t>
      </w:r>
    </w:p>
    <w:tbl>
      <w:tblPr>
        <w:tblW w:w="11905" w:type="dxa"/>
        <w:jc w:val="left"/>
        <w:tblInd w:w="0" w:type="dxa"/>
        <w:tblLayout w:type="fixed"/>
        <w:tblCellMar>
          <w:top w:w="28" w:type="dxa"/>
          <w:left w:w="28" w:type="dxa"/>
          <w:bottom w:w="28" w:type="dxa"/>
          <w:right w:w="28" w:type="dxa"/>
        </w:tblCellMar>
      </w:tblPr>
      <w:tblGrid>
        <w:gridCol w:w="185"/>
        <w:gridCol w:w="162"/>
        <w:gridCol w:w="164"/>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203"/>
        <w:gridCol w:w="203"/>
        <w:gridCol w:w="483"/>
        <w:gridCol w:w="109"/>
        <w:gridCol w:w="109"/>
        <w:gridCol w:w="109"/>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203"/>
        <w:gridCol w:w="203"/>
        <w:gridCol w:w="54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1,192,764 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1,179,772 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2,359,116 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2,305,339 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53,777 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increases in net sales for the second quarter and first half of fiscal 2026 were primarily due to new store sales, partially offset by decreased sales from store closures and declines in comparable store sales. We opened 37 new stores over the last 12 months and closed 42 stores, including the closure of 36 stores in March and April of 2026 as a result of the Optimization Plan. See Note 12 to the condensed consolidated financial statements for additional information on the Optimization Plan.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Comparable store sales declined 0.3% for the second quarter of fiscal 2026, driven by a 2.1% decrease in average transaction size, partially offset by a 1.8% increase in the number of transactions. For the first half of fiscal 2026, comparable store sales declined 0.6%, driven by a 2.6% decrease in average transaction size, partially offset by a 2.0% increase in the number of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Gross Profit and Gross Margin</w:t>
      </w:r>
    </w:p>
    <w:tbl>
      <w:tblPr>
        <w:tblW w:w="11783" w:type="dxa"/>
        <w:jc w:val="left"/>
        <w:tblInd w:w="0" w:type="dxa"/>
        <w:tblLayout w:type="fixed"/>
        <w:tblCellMar>
          <w:top w:w="28" w:type="dxa"/>
          <w:left w:w="28" w:type="dxa"/>
          <w:bottom w:w="28" w:type="dxa"/>
          <w:right w:w="28" w:type="dxa"/>
        </w:tblCellMar>
      </w:tblPr>
      <w:tblGrid>
        <w:gridCol w:w="327"/>
        <w:gridCol w:w="181"/>
        <w:gridCol w:w="183"/>
        <w:gridCol w:w="211"/>
        <w:gridCol w:w="826"/>
        <w:gridCol w:w="271"/>
        <w:gridCol w:w="109"/>
        <w:gridCol w:w="109"/>
        <w:gridCol w:w="109"/>
        <w:gridCol w:w="211"/>
        <w:gridCol w:w="826"/>
        <w:gridCol w:w="271"/>
        <w:gridCol w:w="109"/>
        <w:gridCol w:w="109"/>
        <w:gridCol w:w="109"/>
        <w:gridCol w:w="246"/>
        <w:gridCol w:w="421"/>
        <w:gridCol w:w="129"/>
        <w:gridCol w:w="109"/>
        <w:gridCol w:w="109"/>
        <w:gridCol w:w="109"/>
        <w:gridCol w:w="203"/>
        <w:gridCol w:w="203"/>
        <w:gridCol w:w="483"/>
        <w:gridCol w:w="109"/>
        <w:gridCol w:w="109"/>
        <w:gridCol w:w="109"/>
        <w:gridCol w:w="211"/>
        <w:gridCol w:w="826"/>
        <w:gridCol w:w="271"/>
        <w:gridCol w:w="109"/>
        <w:gridCol w:w="109"/>
        <w:gridCol w:w="109"/>
        <w:gridCol w:w="211"/>
        <w:gridCol w:w="826"/>
        <w:gridCol w:w="271"/>
        <w:gridCol w:w="109"/>
        <w:gridCol w:w="109"/>
        <w:gridCol w:w="109"/>
        <w:gridCol w:w="211"/>
        <w:gridCol w:w="616"/>
        <w:gridCol w:w="109"/>
        <w:gridCol w:w="109"/>
        <w:gridCol w:w="109"/>
        <w:gridCol w:w="109"/>
        <w:gridCol w:w="203"/>
        <w:gridCol w:w="203"/>
        <w:gridCol w:w="544"/>
      </w:tblGrid>
      <w:tr>
        <w:trPr/>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360,718 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360,693 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705,917 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703,138 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Gross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second quarter and first half of fiscal 2026, gross margin declined due primarily to the impact of product promotions to drive sales, and inventory markdowns and write-offs associated with the Closure Stores, partially offset by improvements in inventory management.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12 to the condensed consolidated financial statements for additional information on the Optimization Plan.</w:t>
      </w:r>
    </w:p>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tbl>
      <w:tblPr>
        <w:tblW w:w="11848" w:type="dxa"/>
        <w:jc w:val="left"/>
        <w:tblInd w:w="0" w:type="dxa"/>
        <w:tblLayout w:type="fixed"/>
        <w:tblCellMar>
          <w:top w:w="28" w:type="dxa"/>
          <w:left w:w="28" w:type="dxa"/>
          <w:bottom w:w="28" w:type="dxa"/>
          <w:right w:w="28" w:type="dxa"/>
        </w:tblCellMar>
      </w:tblPr>
      <w:tblGrid>
        <w:gridCol w:w="185"/>
        <w:gridCol w:w="162"/>
        <w:gridCol w:w="164"/>
        <w:gridCol w:w="211"/>
        <w:gridCol w:w="826"/>
        <w:gridCol w:w="271"/>
        <w:gridCol w:w="109"/>
        <w:gridCol w:w="109"/>
        <w:gridCol w:w="109"/>
        <w:gridCol w:w="211"/>
        <w:gridCol w:w="826"/>
        <w:gridCol w:w="271"/>
        <w:gridCol w:w="109"/>
        <w:gridCol w:w="109"/>
        <w:gridCol w:w="109"/>
        <w:gridCol w:w="211"/>
        <w:gridCol w:w="616"/>
        <w:gridCol w:w="109"/>
        <w:gridCol w:w="109"/>
        <w:gridCol w:w="109"/>
        <w:gridCol w:w="109"/>
        <w:gridCol w:w="203"/>
        <w:gridCol w:w="203"/>
        <w:gridCol w:w="483"/>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03"/>
        <w:gridCol w:w="203"/>
        <w:gridCol w:w="54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SG&amp;A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339,524 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336,764 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686,546 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667,842 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of net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in SG&amp;A for the second quarter of fiscal 2026 included a $6.4 million increase in corporate-related expenses, partially offset by a $3.6 million decrease in store-related expenses. The increase in corporate-related expenses was primarily from increased costs to support our continued growth, partially offset by lower marketing costs. The decrease in store-related expenses was primarily from lower impairment of long-lived assets and bad debt reserves.</w:t>
      </w:r>
    </w:p>
    <w:p>
      <w:pPr>
        <w:pStyle w:val="TextBody"/>
        <w:bidi w:val="0"/>
        <w:spacing w:lineRule="auto" w:line="288" w:before="12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in SG&amp;A for the first half of fiscal 2026 included a $7.6 million increase in store-related expenses primarily due to higher commissions and other costs to support our continued growth, partially offset by lower bad debt reserves and impairment of long-lived assets. Also included in the increase in SG&amp;A was an $11.1 million increase in corporate-related expenses primarily from increased costs to support our continued growth, partially offset by lower incentive compensation. As a percentage of net sales, the SG&amp;A increase was driven primarily by the aforementioned factors.</w:t>
      </w:r>
    </w:p>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Restructuring Charges, Net</w:t>
      </w:r>
    </w:p>
    <w:tbl>
      <w:tblPr>
        <w:tblW w:w="12313" w:type="dxa"/>
        <w:jc w:val="left"/>
        <w:tblInd w:w="0" w:type="dxa"/>
        <w:tblLayout w:type="fixed"/>
        <w:tblCellMar>
          <w:top w:w="28" w:type="dxa"/>
          <w:left w:w="28" w:type="dxa"/>
          <w:bottom w:w="28" w:type="dxa"/>
          <w:right w:w="28" w:type="dxa"/>
        </w:tblCellMar>
      </w:tblPr>
      <w:tblGrid>
        <w:gridCol w:w="446"/>
        <w:gridCol w:w="392"/>
        <w:gridCol w:w="393"/>
        <w:gridCol w:w="211"/>
        <w:gridCol w:w="616"/>
        <w:gridCol w:w="271"/>
        <w:gridCol w:w="109"/>
        <w:gridCol w:w="109"/>
        <w:gridCol w:w="109"/>
        <w:gridCol w:w="211"/>
        <w:gridCol w:w="721"/>
        <w:gridCol w:w="271"/>
        <w:gridCol w:w="109"/>
        <w:gridCol w:w="109"/>
        <w:gridCol w:w="109"/>
        <w:gridCol w:w="211"/>
        <w:gridCol w:w="631"/>
        <w:gridCol w:w="109"/>
        <w:gridCol w:w="109"/>
        <w:gridCol w:w="109"/>
        <w:gridCol w:w="109"/>
        <w:gridCol w:w="263"/>
        <w:gridCol w:w="263"/>
        <w:gridCol w:w="483"/>
        <w:gridCol w:w="109"/>
        <w:gridCol w:w="109"/>
        <w:gridCol w:w="109"/>
        <w:gridCol w:w="211"/>
        <w:gridCol w:w="721"/>
        <w:gridCol w:w="271"/>
        <w:gridCol w:w="109"/>
        <w:gridCol w:w="109"/>
        <w:gridCol w:w="109"/>
        <w:gridCol w:w="211"/>
        <w:gridCol w:w="721"/>
        <w:gridCol w:w="271"/>
        <w:gridCol w:w="109"/>
        <w:gridCol w:w="109"/>
        <w:gridCol w:w="109"/>
        <w:gridCol w:w="211"/>
        <w:gridCol w:w="736"/>
        <w:gridCol w:w="109"/>
        <w:gridCol w:w="109"/>
        <w:gridCol w:w="109"/>
        <w:gridCol w:w="109"/>
        <w:gridCol w:w="263"/>
        <w:gridCol w:w="263"/>
        <w:gridCol w:w="544"/>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Restructuring charges,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5,428 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11,157 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(51.3)</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23,619 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45,032 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(47.6)</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of net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restructuring charges for the second quarter and first half of fiscal 2026 were related to the Optimization Plan. For the second quarter of fiscal 2026, net restructuring charges primarily included cash costs associated with the Lease Exits of $13.1 million, partially offset by the net write-off of right-of-use assets and lease liabilities of $8.6 million. For the first half of fiscal 2026, net restructuring charges primarily included bad debt of $15.4 million, cash costs associated with the Lease Exits of $13.9 million, and cash costs associated with the Operator Agreement Terminations of $2.7 million, partially offset by the net write-off of right-of-use assets and lease liabilities of $8.6 million.</w:t>
      </w:r>
    </w:p>
    <w:p>
      <w:pPr>
        <w:pStyle w:val="TextBody"/>
        <w:bidi w:val="0"/>
        <w:spacing w:lineRule="auto" w:line="288" w:before="12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second quarter and first half of fiscal 2025, net restructuring charges were related to a prior restructuring plan we initiated during the fourth quarter of fiscal 2024, intended to improve our long-term profitability, cash flow generation and return on invested capital, optimize the footprint of new store growth, and lower our cost base (the "Restructuring Plan"), and primarily included lease termination costs of $5.0 million and $34.1 million, respectively, and impairment and disposal of long-lived assets of $6.1 million and $7.9 million, respectively.</w:t>
      </w:r>
    </w:p>
    <w:p>
      <w:pPr>
        <w:pStyle w:val="TextBody"/>
        <w:bidi w:val="0"/>
        <w:spacing w:lineRule="auto" w:line="288" w:before="12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12 to the condensed consolidated financial statements for additional information on the Optimization Plan and the Restructuring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Goodwill impairment</w:t>
      </w:r>
    </w:p>
    <w:tbl>
      <w:tblPr>
        <w:tblW w:w="11513" w:type="dxa"/>
        <w:jc w:val="left"/>
        <w:tblInd w:w="0" w:type="dxa"/>
        <w:tblLayout w:type="fixed"/>
        <w:tblCellMar>
          <w:top w:w="28" w:type="dxa"/>
          <w:left w:w="28" w:type="dxa"/>
          <w:bottom w:w="28" w:type="dxa"/>
          <w:right w:w="28" w:type="dxa"/>
        </w:tblCellMar>
      </w:tblPr>
      <w:tblGrid>
        <w:gridCol w:w="381"/>
        <w:gridCol w:w="334"/>
        <w:gridCol w:w="336"/>
        <w:gridCol w:w="211"/>
        <w:gridCol w:w="406"/>
        <w:gridCol w:w="271"/>
        <w:gridCol w:w="109"/>
        <w:gridCol w:w="109"/>
        <w:gridCol w:w="109"/>
        <w:gridCol w:w="211"/>
        <w:gridCol w:w="406"/>
        <w:gridCol w:w="271"/>
        <w:gridCol w:w="109"/>
        <w:gridCol w:w="109"/>
        <w:gridCol w:w="109"/>
        <w:gridCol w:w="231"/>
        <w:gridCol w:w="445"/>
        <w:gridCol w:w="120"/>
        <w:gridCol w:w="109"/>
        <w:gridCol w:w="109"/>
        <w:gridCol w:w="109"/>
        <w:gridCol w:w="308"/>
        <w:gridCol w:w="308"/>
        <w:gridCol w:w="483"/>
        <w:gridCol w:w="109"/>
        <w:gridCol w:w="109"/>
        <w:gridCol w:w="109"/>
        <w:gridCol w:w="211"/>
        <w:gridCol w:w="826"/>
        <w:gridCol w:w="271"/>
        <w:gridCol w:w="109"/>
        <w:gridCol w:w="109"/>
        <w:gridCol w:w="109"/>
        <w:gridCol w:w="211"/>
        <w:gridCol w:w="406"/>
        <w:gridCol w:w="271"/>
        <w:gridCol w:w="109"/>
        <w:gridCol w:w="109"/>
        <w:gridCol w:w="109"/>
        <w:gridCol w:w="211"/>
        <w:gridCol w:w="826"/>
        <w:gridCol w:w="109"/>
        <w:gridCol w:w="109"/>
        <w:gridCol w:w="109"/>
        <w:gridCol w:w="109"/>
        <w:gridCol w:w="308"/>
        <w:gridCol w:w="308"/>
        <w:gridCol w:w="54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Goodwill impairment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of net sales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2026, we performed an interim goodwill impairment evaluation, which indicated that the Company's estimated fair value was less than its carrying amount. As a result, we recognized a non-cash goodwill impairment charge in the first quarter of fiscal 2026.</w:t>
      </w:r>
    </w:p>
    <w:p>
      <w:pPr>
        <w:pStyle w:val="TextBody"/>
        <w:bidi w:val="0"/>
        <w:spacing w:lineRule="auto" w:line="288" w:before="12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3 to the condensed consolidated financial statements for additional information.</w:t>
      </w:r>
    </w:p>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Income Tax Expense (Benefit)</w:t>
      </w:r>
    </w:p>
    <w:tbl>
      <w:tblPr>
        <w:tblW w:w="11458" w:type="dxa"/>
        <w:jc w:val="left"/>
        <w:tblInd w:w="0" w:type="dxa"/>
        <w:tblLayout w:type="fixed"/>
        <w:tblCellMar>
          <w:top w:w="28" w:type="dxa"/>
          <w:left w:w="28" w:type="dxa"/>
          <w:bottom w:w="28" w:type="dxa"/>
          <w:right w:w="28" w:type="dxa"/>
        </w:tblCellMar>
      </w:tblPr>
      <w:tblGrid>
        <w:gridCol w:w="358"/>
        <w:gridCol w:w="248"/>
        <w:gridCol w:w="250"/>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308"/>
        <w:gridCol w:w="308"/>
        <w:gridCol w:w="483"/>
        <w:gridCol w:w="109"/>
        <w:gridCol w:w="109"/>
        <w:gridCol w:w="109"/>
        <w:gridCol w:w="211"/>
        <w:gridCol w:w="481"/>
        <w:gridCol w:w="271"/>
        <w:gridCol w:w="109"/>
        <w:gridCol w:w="109"/>
        <w:gridCol w:w="109"/>
        <w:gridCol w:w="211"/>
        <w:gridCol w:w="631"/>
        <w:gridCol w:w="271"/>
        <w:gridCol w:w="109"/>
        <w:gridCol w:w="109"/>
        <w:gridCol w:w="109"/>
        <w:gridCol w:w="211"/>
        <w:gridCol w:w="616"/>
        <w:gridCol w:w="109"/>
        <w:gridCol w:w="109"/>
        <w:gridCol w:w="109"/>
        <w:gridCol w:w="109"/>
        <w:gridCol w:w="263"/>
        <w:gridCol w:w="263"/>
        <w:gridCol w:w="544"/>
      </w:tblGrid>
      <w:tr>
        <w:trPr/>
        <w:tc>
          <w:tcPr>
            <w:tcW w:w="35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Income tax expense (benefit)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3,568 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181.6 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(493)</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(4,444)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(88.9)</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Effective income tax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changes in income tax expense for the second quarter and first half of fiscal 2026 was primarily driven by the changes in the level of earnings.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in our effective income tax rate for the second quarter of fiscal 2026 compared to the second quarter of fiscal 2025 was primarily driven by changes in our level of earnings. The decrease in our effective income tax rate for the first half of fiscal 2026 compared to the first half of fiscal 2025 was primarily driven by non-deductible goodwill impairment recognized during the first half of fiscal 2026.</w:t>
      </w:r>
    </w:p>
    <w:p>
      <w:pPr>
        <w:pStyle w:val="TextBody"/>
        <w:bidi w:val="0"/>
        <w:spacing w:lineRule="auto" w:line="288" w:before="12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7 to the condensed consolidated financial statements for additional information.</w:t>
      </w:r>
    </w:p>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Net Income (Loss)</w:t>
      </w:r>
    </w:p>
    <w:tbl>
      <w:tblPr>
        <w:tblW w:w="11858" w:type="dxa"/>
        <w:jc w:val="left"/>
        <w:tblInd w:w="0" w:type="dxa"/>
        <w:tblLayout w:type="fixed"/>
        <w:tblCellMar>
          <w:top w:w="28" w:type="dxa"/>
          <w:left w:w="28" w:type="dxa"/>
          <w:bottom w:w="28" w:type="dxa"/>
          <w:right w:w="28" w:type="dxa"/>
        </w:tblCellMar>
      </w:tblPr>
      <w:tblGrid>
        <w:gridCol w:w="261"/>
        <w:gridCol w:w="229"/>
        <w:gridCol w:w="231"/>
        <w:gridCol w:w="211"/>
        <w:gridCol w:w="616"/>
        <w:gridCol w:w="271"/>
        <w:gridCol w:w="109"/>
        <w:gridCol w:w="109"/>
        <w:gridCol w:w="109"/>
        <w:gridCol w:w="211"/>
        <w:gridCol w:w="616"/>
        <w:gridCol w:w="271"/>
        <w:gridCol w:w="109"/>
        <w:gridCol w:w="109"/>
        <w:gridCol w:w="109"/>
        <w:gridCol w:w="213"/>
        <w:gridCol w:w="471"/>
        <w:gridCol w:w="112"/>
        <w:gridCol w:w="109"/>
        <w:gridCol w:w="109"/>
        <w:gridCol w:w="109"/>
        <w:gridCol w:w="255"/>
        <w:gridCol w:w="256"/>
        <w:gridCol w:w="483"/>
        <w:gridCol w:w="109"/>
        <w:gridCol w:w="109"/>
        <w:gridCol w:w="109"/>
        <w:gridCol w:w="211"/>
        <w:gridCol w:w="841"/>
        <w:gridCol w:w="271"/>
        <w:gridCol w:w="109"/>
        <w:gridCol w:w="109"/>
        <w:gridCol w:w="109"/>
        <w:gridCol w:w="211"/>
        <w:gridCol w:w="736"/>
        <w:gridCol w:w="271"/>
        <w:gridCol w:w="109"/>
        <w:gridCol w:w="109"/>
        <w:gridCol w:w="109"/>
        <w:gridCol w:w="211"/>
        <w:gridCol w:w="841"/>
        <w:gridCol w:w="109"/>
        <w:gridCol w:w="109"/>
        <w:gridCol w:w="109"/>
        <w:gridCol w:w="109"/>
        <w:gridCol w:w="308"/>
        <w:gridCol w:w="308"/>
        <w:gridCol w:w="544"/>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 Change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5,626 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13.4 </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(174,696)</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(18,356)</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(156,340)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851.7 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of net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income was $5.6 million for the second quarter of fiscal 2026 compared to net income of $5.0 million for the same period in fiscal 2025 as a result of the foregoing factors.</w:t>
      </w:r>
    </w:p>
    <w:p>
      <w:pPr>
        <w:pStyle w:val="TextBody"/>
        <w:bidi w:val="0"/>
        <w:spacing w:lineRule="auto" w:line="288" w:before="12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loss was $174.7 million for the first half of fiscal 2026 compared to net loss of $18.4 million for the same period in fiscal 2025. Net loss for the first half of fiscal 2026 included goodwill impairment of $158.0 million and net restructuring charges of $23.6 million. Net loss for the first half of fiscal 2025 included net restructuring charges of $45.0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 xml:space="preserve">Adjusted EBITDA </w:t>
      </w:r>
    </w:p>
    <w:tbl>
      <w:tblPr>
        <w:tblW w:w="11395" w:type="dxa"/>
        <w:jc w:val="left"/>
        <w:tblInd w:w="0" w:type="dxa"/>
        <w:tblLayout w:type="fixed"/>
        <w:tblCellMar>
          <w:top w:w="28" w:type="dxa"/>
          <w:left w:w="28" w:type="dxa"/>
          <w:bottom w:w="28" w:type="dxa"/>
          <w:right w:w="28" w:type="dxa"/>
        </w:tblCellMar>
      </w:tblPr>
      <w:tblGrid>
        <w:gridCol w:w="310"/>
        <w:gridCol w:w="272"/>
        <w:gridCol w:w="274"/>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10"/>
        <w:gridCol w:w="211"/>
        <w:gridCol w:w="483"/>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10"/>
        <w:gridCol w:w="211"/>
        <w:gridCol w:w="54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Adjusted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65,656 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67,747 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119,632 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Adjusted EBITDA decreased for the second quarter of fiscal 2026 compared to the prior year, primarily as a result of a decline in gross margin, partially offset by an increase in net sales, as discussed above.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decrease in Adjusted EBITDA for the first half of fiscal 2026 compared to the prior year was primarily attributable to a decline in gross margin and higher SG&amp;A, partially offset by an increase in net sales, as discussed above.</w:t>
      </w:r>
    </w:p>
    <w:p>
      <w:pPr>
        <w:pStyle w:val="TextBody"/>
        <w:bidi w:val="0"/>
        <w:spacing w:lineRule="auto" w:line="288" w:before="240" w:after="60"/>
        <w:jc w:val="both"/>
        <w:rPr>
          <w:rFonts w:ascii="Times New Roman;serif" w:hAnsi="Times New Roman;serif"/>
          <w:b/>
          <w:i/>
          <w:color w:val="000000"/>
          <w:sz w:val="20"/>
        </w:rPr>
      </w:pPr>
      <w:r>
        <w:rPr>
          <w:rFonts w:ascii="Times New Roman;serif" w:hAnsi="Times New Roman;serif"/>
          <w:b/>
          <w:i/>
          <w:color w:val="000000"/>
          <w:sz w:val="20"/>
        </w:rPr>
        <w:t xml:space="preserve">Adjusted Net Income </w:t>
      </w:r>
    </w:p>
    <w:tbl>
      <w:tblPr>
        <w:tblW w:w="11395" w:type="dxa"/>
        <w:jc w:val="left"/>
        <w:tblInd w:w="0" w:type="dxa"/>
        <w:tblLayout w:type="fixed"/>
        <w:tblCellMar>
          <w:top w:w="28" w:type="dxa"/>
          <w:left w:w="28" w:type="dxa"/>
          <w:bottom w:w="28" w:type="dxa"/>
          <w:right w:w="28" w:type="dxa"/>
        </w:tblCellMar>
      </w:tblPr>
      <w:tblGrid>
        <w:gridCol w:w="310"/>
        <w:gridCol w:w="272"/>
        <w:gridCol w:w="274"/>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63"/>
        <w:gridCol w:w="263"/>
        <w:gridCol w:w="483"/>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263"/>
        <w:gridCol w:w="263"/>
        <w:gridCol w:w="54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Adjusted 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24,904 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(30.4)</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decrease in adjusted net income for the second quarter of fiscal 2026 compared to the prior year was primarily attributable to a decline in gross margin, partially offset by an increase in net sales, as discussed above.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decrease in adjusted net income for the first half of fiscal 2026 compared to the prior year was primarily attributable to a decline in gross margin and higher SG&amp;A, partially offset by an increase in net sales, as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our current operations and new store growth plans, we expect to satisfy our short-term and long-term cash requirements through a combination of our existing cash and cash equivalents position, funds generated from operating activities, and the borrowing capacity available in the revolving credit facility under our credit agreement, dated February 21, 2023, with Bank of America, N.A. (the "2023 Credit Agreement"). If cash generated from our operations and borrowings under the revolving credit facility are not sufficient or available to meet our liquidity requirements, then we will be required to obtain additional equity or debt financing in the future. There can be no assurance that equity or debt financing will be available to us when we need it or, if available, the terms will be satisfactory to us and not dilutive to our then-current stockholders. Additionally, we may seek to take advantage of market opportunities to refinance our existing debt instruments with new debt instruments at interest rates, maturities and terms we deem attractive.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July 4, 2026, we had cash and cash equivalents of $74.2 million, which consisted primarily of cash held in checking and money market accounts with financial institutions. In addition, we have a revolving credit facility with $400.0 million in borrowing capacity under the 2023 Credit Agreement. As of July 4, 2026, we had $240.0 million of borrowings outstanding under the revolving credit facility and $6.2 million of outstanding standby letters of credit, resulting in $153.8 million of remaining borrowing capacity available under this revolving credit facility.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senior secured credit facilities of the 2023 Credit Agreement permit us to add incremental term loan facilities, increase any existing term loan facility, increase revolving commitments, and/or add incremental replacement revolving credit facility tranches. The aggregate principal amount of such incremental facilities are limited to (a) an amount not in excess of the sum of the greater of $200.0 million and 100% of Consolidated EBITDA (as defined in the 2023 Credit Agreement), subject to certain limitations, plus (b) voluntary prepayments of any term loan facility, voluntary permanent reductions of the commitments for the revolving credit facility and voluntary prepayments of indebtedness secured by liens on the collateral securing the credit facilities, subject to certain exceptions, plus (c) an amount such that (assuming that the full amount of any such incremental revolving increase and/or incremental replacement revolving credit facility was drawn, and after giving effect to any appropriate pro forma adjustment events) we would be in compliance, on a pro forma basis (but excluding the cash proceeds of such incurrence), with a Total Net Leverage Ratio (as defined in the 2023 Credit Agreement) of 3.00 to 1.00.</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also, from time to time, at our sole discretion, prepay or retire all or a portion of our outstanding debt.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Material Cash Requirements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no material change in our material cash requirements since the end of fiscal 2025, other than those which occur in the ordinary course of business. See our 2025 Form 10-K for additional information.</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Capital expenditures include purchases of capital assets such as property and equipment as well as intangible assets and licenses. Capital expenditures for the first half of fiscal 2026, before tenant improvement allowances, were $100.5 million, and, net of tenant improvement allowances, were $92.6 million. We currently expect total capital expenditures, net of tenant improvement allowances, to be approximately $170.0 million for fiscal 2026, which includes new store openings, ongoing store maintenance and improvements, supply chain investments and systems and infrastructure investments.</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Debt Obligations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2023 Credit Agreement requires us to make scheduled quarterly amortization payments of the senior term loan. Such payments total $22.5 million over the remaining term of the senior term loan, with $7.5 million payable over the remainder of fiscal 2026. The remaining senior term loan principal balance and any outstanding revolving credit facility balance will become due in February 2028 at maturity. See Note 4 to the condensed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Debt Covenants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2023 Credit Agreement contains certain customary representations and warranties, subject to limitations and exceptions, and affirmative and customary covenants. The 2023 Credit Agreement contains certain covenants that, among other things, limit our ability and the ability of our restricted subsidiaries to: pay dividends or distributions, repurchase equity, prepay junior debt and make certain investments; incur additional debt or issue certain disqualified stock and preferred stock; incur liens on assets; merge or consolidate with another company or sell, assign, transfer, lease, convey or otherwise dispose of all or substantially all of its assets; enter into transactions with affiliates; and allow to exist certain restrictions on the ability of our subsidiaries to pay dividends or make other payments to the borrower. The 2023 Credit Agreement also contains financial performance covenants requiring us to satisfy a maximum total net leverage ratio test and a minimum interest coverage ratio test as of the last day of each fiscal quarter. The maximum total net leverage ratio test requires us to be in compliance with a Total Net Leverage Ratio no greater than 3.25 to 1.00 as of the last day of each test period ending after December 31, 2025, subject to certain adjustments set forth in the 2023 Credit Agreement. The minimum interest coverage ratio test requires us to be in compliance with a Consolidated Interest Coverage Ratio (as defined in the 2023 Credit Agreement) of no less than 1.75 to 1.00 as of the last day of each test period.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July 4, 2026, we were in compliance with all applicable financial covenant requirements for the 2023 Credit Agreement.</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cash flows for the periods presented (amounts in thousands):</w:t>
      </w:r>
    </w:p>
    <w:tbl>
      <w:tblPr>
        <w:tblW w:w="9764" w:type="dxa"/>
        <w:jc w:val="left"/>
        <w:tblInd w:w="0" w:type="dxa"/>
        <w:tblLayout w:type="fixed"/>
        <w:tblCellMar>
          <w:top w:w="28" w:type="dxa"/>
          <w:left w:w="28" w:type="dxa"/>
          <w:bottom w:w="28" w:type="dxa"/>
          <w:right w:w="28" w:type="dxa"/>
        </w:tblCellMar>
      </w:tblPr>
      <w:tblGrid>
        <w:gridCol w:w="1563"/>
        <w:gridCol w:w="1377"/>
        <w:gridCol w:w="1380"/>
        <w:gridCol w:w="211"/>
        <w:gridCol w:w="721"/>
        <w:gridCol w:w="109"/>
        <w:gridCol w:w="109"/>
        <w:gridCol w:w="109"/>
        <w:gridCol w:w="109"/>
        <w:gridCol w:w="211"/>
        <w:gridCol w:w="826"/>
        <w:gridCol w:w="109"/>
        <w:gridCol w:w="109"/>
        <w:gridCol w:w="109"/>
        <w:gridCol w:w="109"/>
        <w:gridCol w:w="211"/>
        <w:gridCol w:w="796"/>
        <w:gridCol w:w="109"/>
        <w:gridCol w:w="109"/>
        <w:gridCol w:w="109"/>
        <w:gridCol w:w="109"/>
        <w:gridCol w:w="308"/>
        <w:gridCol w:w="308"/>
        <w:gridCol w:w="544"/>
      </w:tblGrid>
      <w:tr>
        <w:trPr/>
        <w:tc>
          <w:tcPr>
            <w:tcW w:w="156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Provided by Operating Activities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decrease in net cash provided by operating activities of $36.9 million for the first half of fiscal 2026 compared to the same period in fiscal 2025 was primarily driven by changes in working capital, including merchandise inventories and accrued and other liabilities, and a decrease in operating lease liabilities, partially offset by a lower net loss for the first half of fiscal 2026, after adjusting for non-cash charges. The change in accrued and other liabilities was impacted primarily by the payment timing of operator commissions, marketing costs, and interest on the revolving credit facility, and the decrease in operating lease liabilities was primarily due to Lease Exits during the first half of fiscal 2026 associated with the Optimization Plan (see Note 12 to the condensed consolidated financial statements for additional information).</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Cash Used in Investing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decrease in net cash used in investing activities of $33.1 million for the first half of fiscal 2026 compared to the same period in fiscal 2025 was primarily due to lower purchases of property and equipment for the first half of fiscal 2026 due to a decrease in planned new store openings in fiscal 2026 compared to fiscal 2025 and investments in new warehouses in fiscal 2025.</w:t>
      </w:r>
    </w:p>
    <w:p>
      <w:pPr>
        <w:pStyle w:val="TextBody"/>
        <w:bidi w:val="0"/>
        <w:spacing w:lineRule="auto" w:line="288" w:before="18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Cash Provided By (Used In) Financing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in net cash provided by financing activities of $16.0 million for the first half of fiscal 2026 compared to the same period in fiscal 2025 was primarily due to the principal payment on the revolving credit facility during the first half of fiscal 2025, partially offset by the increase in scheduled principal payments on the senior term loan under the 2023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are prepared in accordance with GAAP and the applicable rules and regulations of the SEC for interim reporting. The preparation of our condensed consolidated financial statements requires us to make judgments and estimates that affect the reported amounts of assets, liabilities, revenues, expenses and related disclosures. We evaluate our estimates and assumptions on an ongoing basis. Our judgments and estimates are based on historical experience and other factors believed to be reasonable under the circumstances. With respect to critical accounting policies, even a relatively minor variance between actual and expected results can potentially have a materially favorable or unfavorable impact on subsequent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Except as discussed below, there have been no material changes to our critical accounting policies and estimates during the first half of fiscal 2026 from those disclosed in our 2025 Form 10-K.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Goodwill is subject to an annual impairment evaluation which is performed during our fourth quarter or when events or changes in circumstances indicate that the value of goodwill may be impaired. Our impairment evaluation of goodwill consists of an initial qualitative assessment of our reporting unit to determine whether it is more-likely-than-not that the fair value of the reporting unit is less than its carrying value. If it is concluded that this is the case, a quantitative assessment is performed, and if the quantitative assessment indicates that the carrying value of our reporting unit exceeds its fair value, an impairment loss is calculated and recognized during that period. Measurement of such an impairment loss would be based on the excess of the carrying amount over fair value.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 goodwill impairment charges were recorded during the second quarter of fiscal 2026, and no goodwill impairment charges were recorded during the second quarter and first half of fiscal 2025. During the first quarter of fiscal 2026, we determined that a triggering event had occurred due to a decline in our stock price, necessitating an interim goodwill impairment evaluation. We performed a quantitative assessment as of April 4,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quantitative impairment assessment utilized a combination of an income approach and a market approach to estimate the fair value of the reporting unit, which were equally weighted. The income approach was based on a discounted cash flow model that incorporated projected cash flows and significant assumptions, including revenue growth rates, gross profit margins, and an estimate of the weighted-average cost of capital that we believe reflects market participant assumptions. The market approach utilized a guideline public company method, which required judgment in selecting comparable companies and determining appropriate multiples of revenue and EBITDA.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estimates involve significant judgment and are subject to uncertainties, including changes in market conditions, interest rates, growth rates, tax rates, costs, customer behavior, regulatory developments, and other macroeconomic factors. In addition, we assessed the reasonableness of the estimated fair value by evaluating the implied control premium relative to our market capitalization and concluded that such premium was reasonable, thereby corroborating our fair value estimate.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measurement was classified as Level 3 within the fair value hierarchy due to the use of significant unobservable measurement inputs and internal projections.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Assumptions used in impairment testing are made at a point in time and require significant judgment; therefore, they are subject to change based on the facts and circumstances present at each impairment test date. Additionally, these assumptions are generally interdependent and do not change in isolation.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will continue to closely monitor future performance and any potential impacts on the value of the reporting unit. If the estimated future cash flows decrease below our current expectations, specifically as a result of lower revenue growth rates or operating income margins, or due to an increase in the weighted average cost of capital, the fair value may further decrease resulting in an incremental material goodwill impairment.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Refer to Note 1 to the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Interest Rate Risk</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Our operating results are subject to market risk from interest rate fluctuations on our credit facilities, which bear variable interest rates. A</w:t>
      </w:r>
      <w:r>
        <w:rPr>
          <w:rFonts w:ascii="Times New Roman;serif" w:hAnsi="Times New Roman;serif"/>
          <w:b w:val="false"/>
          <w:color w:val="000000"/>
          <w:sz w:val="20"/>
        </w:rPr>
        <w:t>s of July 4, 2026, our outstanding borrowings included $266.3 million from the senior term loan and $240.0 million from the revolving credit facility under the 2023 Credit Agreement. As of July 4, 2026, the interest rates on these borrowings were approximately 6% (see Note 4 to the condensed consolidated financial statements for additional information). Based on the outstanding balances and interest rates of the senior term loan and the revolving credit facility as of July 4, 2026, a hypothetical 10% relative increase or decrease in the interest rate would cause an increase or decrease in interest expense, excluding the capitalization of interest, of approximately $3.0 million over the next 12 months.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do not use derivative financial instruments for speculative or trading purposes, but this does not preclude our adoption of specific hedging strategies in the future.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Impact of Inflation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results of operations and financial condition are presented based on historical cost. While it is difficult to accurately measure the impact of inflation due to the imprecise nature of the estimates required, we have experienced over the last several years varying rates of inflation, resulting in part from various supply disruptions, increased shipping and transportation costs, increased commodity costs, increased labor costs in the supply chain, increased materials costs to develop new stores, increased SG&amp;A related to personnel, travel, and other operational costs and other disruptions caused by the recent macroeconomic environment. Similarly, our IOs have been impacted by staffing challenges and increased labor costs and utility costs within their businesses. Furthermore, our results of operations and financial condition may be materially impacted by inflation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Principal Executive Officer and Principal Financial Officer, we evaluated the effectiveness of the design and operation of our disclosure controls and procedures as defined by Rule 13a-15(e) and 15d-15(e) under the Securities Exchange Act of 1934, as amended (the "Exchange Act") as of the end of the period covered by this report. Our disclosure controls and procedures are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that evaluation, our Principal Executive Officer and Principal Financial Officer have concluded our disclosure controls and procedures were effective at a reasonable assurance level as of July 4, 2026.</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540"/>
        <w:jc w:val="both"/>
        <w:rPr/>
      </w:pPr>
      <w:r>
        <w:rPr>
          <w:rFonts w:ascii="Times New Roman;serif" w:hAnsi="Times New Roman;serif"/>
          <w:b w:val="false"/>
          <w:color w:val="000000"/>
          <w:sz w:val="20"/>
        </w:rPr>
        <w:t>During the fiscal quarter ended July 4, 2026, there was no change in our internal control over financial reporting identified in connection with the evaluation required by Rule 13a-15(d) and 15d-15(d) of the Exchange Act that has materially affected, or is reasonably likely to mate</w:t>
      </w:r>
      <w:r>
        <w:rPr>
          <w:rFonts w:ascii="Times New Roman;serif" w:hAnsi="Times New Roman;serif"/>
          <w:b w:val="false"/>
          <w:color w:val="000000"/>
          <w:sz w:val="20"/>
          <w:shd w:fill="FFFFFF" w:val="clear"/>
        </w:rPr>
        <w:t>rially affect, our internal control over financial reporting.</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Limitations on Effectiveness of Controls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party to legal proceedings that arise in the ordinary course of our business, some of which may be covered by insurance. Except for the description of legal proceedings disclosed in Note 9 to the condensed consolidated financial statements, which is incorporated herein by reference, management believes that we do not have any pending legal proceedings that, separately or in the aggregate, would have a material adverse effect on our results of operations, financial condition or cash flows. No material legal proceedings were terminated, settled or otherwise resolved during the second quarter of fiscal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SEC regulations require us to disclose information about certain environmental proceedings if we reasonably believe that such proceedings may result in monetary sanctions above a stated threshold. Pursuant to SEC regulations, we use a threshold of $1.0 million for purposes of determining whether disclosure of any such proceedings is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Form 10-Q, our business, financial condition and operating results can be affected by a number of factors, whether currently known or unknown, including but not limited to those described in Part I, Item 1A of our 2025 Form 10-K under the heading "Risk Factors,"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 There have been no material changes to our risk factors since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540"/>
        <w:jc w:val="both"/>
        <w:rPr/>
      </w:pPr>
      <w:r>
        <w:rPr>
          <w:rFonts w:ascii="Times New Roman;serif" w:hAnsi="Times New Roman;serif"/>
          <w:b w:val="false"/>
          <w:color w:val="231F20"/>
          <w:sz w:val="20"/>
        </w:rPr>
        <w:t xml:space="preserve">During the </w:t>
      </w:r>
      <w:r>
        <w:rPr>
          <w:rFonts w:ascii="Times New Roman;serif" w:hAnsi="Times New Roman;serif"/>
          <w:b w:val="false"/>
          <w:color w:val="000000"/>
          <w:sz w:val="20"/>
        </w:rPr>
        <w:t>second quarter of fiscal 2026</w:t>
      </w:r>
      <w:r>
        <w:rPr>
          <w:rFonts w:ascii="Times New Roman;serif" w:hAnsi="Times New Roman;serif"/>
          <w:b w:val="false"/>
          <w:color w:val="231F20"/>
          <w:sz w:val="20"/>
        </w:rPr>
        <w:t>, we did not repurchase any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Rule 10b5-1 Trading Plans and Arrangements - Directors and Section 16 Officers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fiscal 2026, none of the Company's directors or Section 16 officers adopted or terminated any contract, instruction or written plan for the purchase or sale of Company securities that was intended to satisfy the affirmative defense conditions of Rule 10b5-1(c) of the Exchange Act, referred to as Rule 10b5-1 trading plans, or any "non-Rule 10b5-1 trading arrangement" (as defined in Item 408(c) of SEC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6"/>
        <w:gridCol w:w="243"/>
        <w:gridCol w:w="244"/>
        <w:gridCol w:w="109"/>
        <w:gridCol w:w="109"/>
        <w:gridCol w:w="109"/>
        <w:gridCol w:w="1815"/>
        <w:gridCol w:w="1689"/>
        <w:gridCol w:w="1706"/>
        <w:gridCol w:w="109"/>
        <w:gridCol w:w="109"/>
        <w:gridCol w:w="109"/>
        <w:gridCol w:w="175"/>
        <w:gridCol w:w="175"/>
        <w:gridCol w:w="176"/>
        <w:gridCol w:w="109"/>
        <w:gridCol w:w="109"/>
        <w:gridCol w:w="109"/>
        <w:gridCol w:w="238"/>
        <w:gridCol w:w="238"/>
        <w:gridCol w:w="243"/>
        <w:gridCol w:w="109"/>
        <w:gridCol w:w="109"/>
        <w:gridCol w:w="109"/>
        <w:gridCol w:w="204"/>
        <w:gridCol w:w="204"/>
        <w:gridCol w:w="206"/>
        <w:gridCol w:w="109"/>
        <w:gridCol w:w="109"/>
        <w:gridCol w:w="109"/>
        <w:gridCol w:w="214"/>
        <w:gridCol w:w="214"/>
        <w:gridCol w:w="310"/>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File </w:t>
              <w:br/>
              <w:t>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Filing </w:t>
              <w:b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Exhibit </w:t>
              <w:br/>
              <w:t>No.</w:t>
            </w:r>
          </w:p>
        </w:tc>
      </w:tr>
      <w:tr>
        <w:trPr/>
        <w:tc>
          <w:tcPr>
            <w:tcW w:w="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Restated Certificate of Incorporation of Grocery Outlet Holding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of Grocery Outlet Holding Corp., effective as of June 3,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2026q210-qexhibit311.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2026q210-qexhibit312.htm">
              <w:r>
                <w:rPr>
                  <w:rStyle w:val="InternetLink"/>
                  <w:rFonts w:ascii="Times New Roman;serif" w:hAnsi="Times New Roman;serif"/>
                  <w:b w:val="false"/>
                  <w:color w:val="0000FF"/>
                  <w:sz w:val="20"/>
                  <w:u w:val="single"/>
                </w:rPr>
                <w:t>Certification of Principal Financial Officer and Principal Accounting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2026q210-qexhibit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2026q210-qexhibit322.htm">
              <w:r>
                <w:rPr>
                  <w:rStyle w:val="InternetLink"/>
                  <w:rFonts w:ascii="Times New Roman;serif" w:hAnsi="Times New Roman;serif"/>
                  <w:b w:val="false"/>
                  <w:color w:val="0000FF"/>
                  <w:sz w:val="20"/>
                  <w:u w:val="single"/>
                </w:rPr>
                <w:t>Certification of Principal Financial Officer and Principal Accounting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 and included as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8"/>
        </w:rPr>
      </w:pPr>
      <w:r>
        <w:rPr>
          <w:rFonts w:ascii="Times New Roman;serif" w:hAnsi="Times New Roman;serif"/>
          <w:b w:val="false"/>
          <w:color w:val="000000"/>
          <w:sz w:val="8"/>
        </w:rPr>
        <w:t>____________________________________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84"/>
        <w:gridCol w:w="3184"/>
        <w:gridCol w:w="3122"/>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4" w:type="dxa"/>
            <w:tcBorders/>
            <w:vAlign w:val="center"/>
          </w:tcPr>
          <w:p>
            <w:pPr>
              <w:pStyle w:val="TableContents"/>
              <w:bidi w:val="0"/>
              <w:spacing w:before="0" w:after="283"/>
              <w:jc w:val="left"/>
              <w:rPr>
                <w:sz w:val="4"/>
                <w:szCs w:val="4"/>
              </w:rPr>
            </w:pPr>
            <w:r>
              <w:rPr>
                <w:sz w:val="4"/>
                <w:szCs w:val="4"/>
              </w:rPr>
            </w:r>
          </w:p>
        </w:tc>
        <w:tc>
          <w:tcPr>
            <w:tcW w:w="3184" w:type="dxa"/>
            <w:tcBorders/>
            <w:vAlign w:val="center"/>
          </w:tcPr>
          <w:p>
            <w:pPr>
              <w:pStyle w:val="TableContents"/>
              <w:bidi w:val="0"/>
              <w:spacing w:before="0" w:after="283"/>
              <w:jc w:val="left"/>
              <w:rPr>
                <w:sz w:val="4"/>
                <w:szCs w:val="4"/>
              </w:rPr>
            </w:pPr>
            <w:r>
              <w:rPr>
                <w:sz w:val="4"/>
                <w:szCs w:val="4"/>
              </w:rPr>
            </w:r>
          </w:p>
        </w:tc>
        <w:tc>
          <w:tcPr>
            <w:tcW w:w="3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490"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490"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Furnished herewith. The certifications attached as Exhibit 32.1 and 32.2 that accompany this Form 10-Q are deemed furnished and not filed with the SEC and are not to be incorporated by reference into any filing of Grocery Outlet under the Securities Act of 1933 or the Exchange Act whether made before or after the date of this Form 10-Q, irrespective of any general incorporation language contained in such filing.</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5e3766a8e9c4143ab73f4769468794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019"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1545"/>
        <w:gridCol w:w="1545"/>
        <w:gridCol w:w="218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Grocery Outlet Holding Corp.</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Ian Ferry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Ian Ferry</w:t>
              <w:br/>
              <w:t>Executive Vice President, Chief Financial Officer and Treasurer</w:t>
              <w:b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Susan Leary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Susan Leary</w:t>
              <w:br/>
              <w:t>Senior Vice President, Accounting</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160"/>
        <w:jc w:val="left"/>
        <w:rPr>
          <w:rFonts w:ascii="Times New Roman;serif" w:hAnsi="Times New Roman;serif"/>
          <w:b w:val="false"/>
          <w:color w:val="000000"/>
          <w:sz w:val="20"/>
        </w:rPr>
      </w:pPr>
      <w:r>
        <w:rPr>
          <w:rFonts w:ascii="Times New Roman;serif" w:hAnsi="Times New Roman;serif"/>
          <w:b w:val="false"/>
          <w:color w:val="000000"/>
          <w:sz w:val="20"/>
        </w:rPr>
        <w:t>I, Jason Potter,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Grocery Outlet Holding Corp.;</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276"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1053"/>
        <w:gridCol w:w="1053"/>
        <w:gridCol w:w="10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Jason Potter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Jason Potter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Ian Ferry,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Grocery Outlet Holding Corp.;</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8347"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1742"/>
        <w:gridCol w:w="1742"/>
        <w:gridCol w:w="1751"/>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Ian Ferry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Ian Ferry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24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Grocery Outlet Holding Corp. (the "Company") on Form 10-Q for the period ended July 4, 2026 as filed with the Securities and Exchange Commission on the date hereof (the "Report"), I, Jason Potter, certify pursuant to 18 U.S.C. § 1350, as adopted pursuant to § 906 of the Sarbanes-Oxley Act of 2002, that:</w:t>
      </w:r>
    </w:p>
    <w:p>
      <w:pPr>
        <w:pStyle w:val="TextBody"/>
        <w:bidi w:val="0"/>
        <w:spacing w:lineRule="auto" w:line="288" w:before="0" w:after="200"/>
        <w:ind w:left="0" w:right="0" w:hanging="405"/>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405"/>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160"/>
        <w:jc w:val="left"/>
        <w:rPr/>
      </w:pPr>
      <w:r>
        <w:rPr/>
      </w:r>
    </w:p>
    <w:tbl>
      <w:tblPr>
        <w:tblW w:w="6276"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1053"/>
        <w:gridCol w:w="1053"/>
        <w:gridCol w:w="10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Jason Potter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Jason Potter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24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Grocery Outlet Holding Corp. (the "Company") on Form 10-Q for the period ended July 4, 2026 as filed with the Securities and Exchange Commission on the date hereof (the "Report"), I, Ian Ferry, certify pursuant to 18 U.S.C. § 1350, as adopted pursuant to § 906 of the Sarbanes-Oxley Act of 2002, that:</w:t>
      </w:r>
    </w:p>
    <w:p>
      <w:pPr>
        <w:pStyle w:val="TextBody"/>
        <w:bidi w:val="0"/>
        <w:spacing w:lineRule="auto" w:line="288" w:before="0" w:after="200"/>
        <w:ind w:left="0" w:right="0" w:hanging="405"/>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405"/>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160"/>
        <w:jc w:val="left"/>
        <w:rPr/>
      </w:pPr>
      <w:r>
        <w:rPr/>
      </w:r>
    </w:p>
    <w:tbl>
      <w:tblPr>
        <w:tblW w:w="8347"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1742"/>
        <w:gridCol w:w="1742"/>
        <w:gridCol w:w="1751"/>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Ian Ferry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Ian Ferry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71515/000177151525000121/go8-k6x6x2025exhibit31.htm" TargetMode="External"/><Relationship Id="rId4" Type="http://schemas.openxmlformats.org/officeDocument/2006/relationships/hyperlink" Target="https://www.sec.gov/Archives/edgar/data/1771515/000177151525000121/go8-k6x6x2025exhibit3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23647</Words>
  <Characters>129536</Characters>
  <CharactersWithSpaces>151389</CharactersWithSpaces>
  <Paragraphs>2829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